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6E7BDD" w:rsidRDefault="00DE4560" w:rsidP="00677B21">
      <w:pPr>
        <w:pStyle w:val="Nzev"/>
        <w:spacing w:before="0" w:afterLines="200" w:after="480"/>
        <w:rPr>
          <w:lang w:val="cs-CZ"/>
        </w:rPr>
      </w:pPr>
      <w:r w:rsidRPr="006E7BDD">
        <w:rPr>
          <w:lang w:val="cs-CZ"/>
        </w:rPr>
        <w:t>Tisková zpráva</w:t>
      </w:r>
    </w:p>
    <w:p w:rsidR="00BC4F56" w:rsidRPr="006E7BDD" w:rsidRDefault="00306857" w:rsidP="00BC4F56">
      <w:pPr>
        <w:pStyle w:val="Nadpis2"/>
        <w:rPr>
          <w:lang w:val="cs-CZ"/>
        </w:rPr>
      </w:pPr>
      <w:r w:rsidRPr="00306857">
        <w:rPr>
          <w:lang w:val="cs-CZ"/>
        </w:rPr>
        <w:t>Skupina Koenig &amp; Bauer zvýšila objem přijatých zakázek o 10,2 %</w:t>
      </w:r>
      <w:bookmarkStart w:id="0" w:name="_GoBack"/>
      <w:bookmarkEnd w:id="0"/>
    </w:p>
    <w:p w:rsidR="00BC4F56" w:rsidRPr="006E7BDD" w:rsidRDefault="00BC4F56" w:rsidP="00BC4F56">
      <w:pPr>
        <w:spacing w:after="240"/>
        <w:rPr>
          <w:lang w:val="cs-CZ"/>
        </w:rPr>
      </w:pPr>
    </w:p>
    <w:p w:rsidR="00BC4F56" w:rsidRPr="006E7BDD" w:rsidRDefault="005B4806" w:rsidP="00BC4F56">
      <w:pPr>
        <w:pStyle w:val="Podtitul"/>
        <w:spacing w:after="240"/>
        <w:rPr>
          <w:szCs w:val="24"/>
          <w:lang w:val="cs-CZ"/>
        </w:rPr>
      </w:pPr>
      <w:r w:rsidRPr="006E7BDD">
        <w:rPr>
          <w:szCs w:val="24"/>
          <w:lang w:val="cs-CZ"/>
        </w:rPr>
        <w:t>Ofenzíva růstu</w:t>
      </w:r>
      <w:r w:rsidR="007E2163" w:rsidRPr="006E7BDD">
        <w:rPr>
          <w:szCs w:val="24"/>
          <w:lang w:val="cs-CZ"/>
        </w:rPr>
        <w:t xml:space="preserve"> 2023 </w:t>
      </w:r>
      <w:r w:rsidRPr="006E7BDD">
        <w:rPr>
          <w:szCs w:val="24"/>
          <w:lang w:val="cs-CZ"/>
        </w:rPr>
        <w:t xml:space="preserve">má mimořádně vysokou prioritu </w:t>
      </w:r>
    </w:p>
    <w:p w:rsidR="00A44634" w:rsidRPr="006E7BDD" w:rsidRDefault="005B4806" w:rsidP="00A44634">
      <w:pPr>
        <w:pStyle w:val="Aufzhlung"/>
        <w:spacing w:after="240"/>
        <w:rPr>
          <w:lang w:val="cs-CZ"/>
        </w:rPr>
      </w:pPr>
      <w:r w:rsidRPr="006E7BDD">
        <w:rPr>
          <w:lang w:val="cs-CZ"/>
        </w:rPr>
        <w:t>Nárůst objednávek v servisu i potisku obalů a ceninovém tisku</w:t>
      </w:r>
    </w:p>
    <w:p w:rsidR="00A44634" w:rsidRPr="006E7BDD" w:rsidRDefault="005B4806" w:rsidP="00A44634">
      <w:pPr>
        <w:pStyle w:val="Aufzhlung"/>
        <w:spacing w:after="240"/>
        <w:rPr>
          <w:lang w:val="cs-CZ"/>
        </w:rPr>
      </w:pPr>
      <w:r w:rsidRPr="006E7BDD">
        <w:rPr>
          <w:lang w:val="cs-CZ"/>
        </w:rPr>
        <w:t>Dobře naplněný plán projektů ve všech obchodních segmentech</w:t>
      </w:r>
    </w:p>
    <w:p w:rsidR="00A44634" w:rsidRPr="006E7BDD" w:rsidRDefault="005B4806" w:rsidP="00A44634">
      <w:pPr>
        <w:pStyle w:val="Aufzhlung"/>
        <w:spacing w:after="240"/>
        <w:rPr>
          <w:lang w:val="cs-CZ"/>
        </w:rPr>
      </w:pPr>
      <w:r w:rsidRPr="006E7BDD">
        <w:rPr>
          <w:lang w:val="cs-CZ"/>
        </w:rPr>
        <w:t xml:space="preserve">Nárůst obratu o </w:t>
      </w:r>
      <w:r w:rsidR="007E2163" w:rsidRPr="006E7BDD">
        <w:rPr>
          <w:lang w:val="cs-CZ"/>
        </w:rPr>
        <w:t xml:space="preserve">6,2 % </w:t>
      </w:r>
    </w:p>
    <w:p w:rsidR="00A44634" w:rsidRPr="006E7BDD" w:rsidRDefault="005B4806" w:rsidP="00A44634">
      <w:pPr>
        <w:pStyle w:val="Aufzhlung"/>
        <w:spacing w:after="240"/>
        <w:rPr>
          <w:lang w:val="cs-CZ"/>
        </w:rPr>
      </w:pPr>
      <w:r w:rsidRPr="006E7BDD">
        <w:rPr>
          <w:lang w:val="cs-CZ"/>
        </w:rPr>
        <w:t>Plné vytížení kapacity díky vysokému stavu zakázek</w:t>
      </w:r>
    </w:p>
    <w:p w:rsidR="00A44634" w:rsidRPr="006E7BDD" w:rsidRDefault="005B4806" w:rsidP="00A44634">
      <w:pPr>
        <w:pStyle w:val="Aufzhlung"/>
        <w:spacing w:after="240"/>
        <w:rPr>
          <w:lang w:val="cs-CZ"/>
        </w:rPr>
      </w:pPr>
      <w:r w:rsidRPr="006E7BDD">
        <w:rPr>
          <w:lang w:val="cs-CZ"/>
        </w:rPr>
        <w:t>Výsledek prvního čtvrtletí i přes výdaje na růst téměř na úrovni předchozího roku</w:t>
      </w:r>
    </w:p>
    <w:p w:rsidR="00A44634" w:rsidRPr="006E7BDD" w:rsidRDefault="00E41C36" w:rsidP="00A44634">
      <w:pPr>
        <w:pStyle w:val="Aufzhlung"/>
        <w:spacing w:after="240"/>
        <w:rPr>
          <w:lang w:val="cs-CZ"/>
        </w:rPr>
      </w:pPr>
      <w:r>
        <w:rPr>
          <w:lang w:val="cs-CZ"/>
        </w:rPr>
        <w:t>P</w:t>
      </w:r>
      <w:r w:rsidR="005B4806" w:rsidRPr="006E7BDD">
        <w:rPr>
          <w:lang w:val="cs-CZ"/>
        </w:rPr>
        <w:t>odíl vlastního kapitálu</w:t>
      </w:r>
      <w:r>
        <w:rPr>
          <w:lang w:val="cs-CZ"/>
        </w:rPr>
        <w:t xml:space="preserve"> ve výši </w:t>
      </w:r>
      <w:r w:rsidRPr="006E7BDD">
        <w:rPr>
          <w:lang w:val="cs-CZ"/>
        </w:rPr>
        <w:t>37,5 %</w:t>
      </w:r>
    </w:p>
    <w:p w:rsidR="00584EAD" w:rsidRPr="006E7BDD" w:rsidRDefault="005B4806" w:rsidP="00A44634">
      <w:pPr>
        <w:pStyle w:val="Aufzhlung"/>
        <w:spacing w:after="240"/>
        <w:rPr>
          <w:lang w:val="cs-CZ"/>
        </w:rPr>
      </w:pPr>
      <w:r w:rsidRPr="006E7BDD">
        <w:rPr>
          <w:lang w:val="cs-CZ"/>
        </w:rPr>
        <w:t>Cíle koncernu</w:t>
      </w:r>
      <w:r w:rsidR="00975E61" w:rsidRPr="006E7BDD">
        <w:rPr>
          <w:lang w:val="cs-CZ"/>
        </w:rPr>
        <w:t xml:space="preserve"> 2019: </w:t>
      </w:r>
      <w:r w:rsidR="00CC57C9" w:rsidRPr="006E7BDD">
        <w:rPr>
          <w:lang w:val="cs-CZ"/>
        </w:rPr>
        <w:t>organic</w:t>
      </w:r>
      <w:r w:rsidRPr="006E7BDD">
        <w:rPr>
          <w:lang w:val="cs-CZ"/>
        </w:rPr>
        <w:t xml:space="preserve">ký nárůst obratu </w:t>
      </w:r>
      <w:r w:rsidR="00975E61" w:rsidRPr="006E7BDD">
        <w:rPr>
          <w:lang w:val="cs-CZ"/>
        </w:rPr>
        <w:t xml:space="preserve">4 % </w:t>
      </w:r>
      <w:r w:rsidRPr="006E7BDD">
        <w:rPr>
          <w:lang w:val="cs-CZ"/>
        </w:rPr>
        <w:t>a</w:t>
      </w:r>
      <w:r w:rsidR="00975E61" w:rsidRPr="006E7BDD">
        <w:rPr>
          <w:lang w:val="cs-CZ"/>
        </w:rPr>
        <w:t xml:space="preserve"> EBIT</w:t>
      </w:r>
      <w:r w:rsidRPr="006E7BDD">
        <w:rPr>
          <w:lang w:val="cs-CZ"/>
        </w:rPr>
        <w:t xml:space="preserve"> marže</w:t>
      </w:r>
      <w:r w:rsidR="00975E61" w:rsidRPr="006E7BDD">
        <w:rPr>
          <w:lang w:val="cs-CZ"/>
        </w:rPr>
        <w:t xml:space="preserve"> 6 %</w:t>
      </w:r>
    </w:p>
    <w:p w:rsidR="00CE56BD" w:rsidRPr="006E7BDD" w:rsidRDefault="00A44634" w:rsidP="00CE1F7E">
      <w:pPr>
        <w:spacing w:after="240"/>
        <w:ind w:right="139"/>
        <w:rPr>
          <w:lang w:val="cs-CZ"/>
        </w:rPr>
      </w:pPr>
      <w:proofErr w:type="spellStart"/>
      <w:r w:rsidRPr="006E7BDD">
        <w:rPr>
          <w:lang w:val="cs-CZ"/>
        </w:rPr>
        <w:t>Würzburg</w:t>
      </w:r>
      <w:proofErr w:type="spellEnd"/>
      <w:r w:rsidR="00584EAD" w:rsidRPr="006E7BDD">
        <w:rPr>
          <w:lang w:val="cs-CZ"/>
        </w:rPr>
        <w:t xml:space="preserve">, </w:t>
      </w:r>
      <w:r w:rsidR="00CE56BD" w:rsidRPr="006E7BDD">
        <w:rPr>
          <w:lang w:val="cs-CZ"/>
        </w:rPr>
        <w:t>3</w:t>
      </w:r>
      <w:r w:rsidRPr="006E7BDD">
        <w:rPr>
          <w:lang w:val="cs-CZ"/>
        </w:rPr>
        <w:t xml:space="preserve">. </w:t>
      </w:r>
      <w:r w:rsidR="005B4806" w:rsidRPr="006E7BDD">
        <w:rPr>
          <w:lang w:val="cs-CZ"/>
        </w:rPr>
        <w:t xml:space="preserve">května </w:t>
      </w:r>
      <w:r w:rsidRPr="006E7BDD">
        <w:rPr>
          <w:lang w:val="cs-CZ"/>
        </w:rPr>
        <w:t>2019</w:t>
      </w:r>
      <w:r w:rsidR="00584EAD" w:rsidRPr="006E7BDD">
        <w:rPr>
          <w:lang w:val="cs-CZ"/>
        </w:rPr>
        <w:br/>
      </w:r>
      <w:r w:rsidR="00E41C36">
        <w:rPr>
          <w:bCs/>
          <w:lang w:val="cs-CZ"/>
        </w:rPr>
        <w:t>S</w:t>
      </w:r>
      <w:r w:rsidR="005B4806" w:rsidRPr="006E7BDD">
        <w:rPr>
          <w:bCs/>
          <w:lang w:val="cs-CZ"/>
        </w:rPr>
        <w:t xml:space="preserve">kupina </w:t>
      </w:r>
      <w:r w:rsidR="00CE56BD" w:rsidRPr="006E7BDD">
        <w:rPr>
          <w:bCs/>
          <w:lang w:val="cs-CZ"/>
        </w:rPr>
        <w:t>Koenig &amp; Bauer</w:t>
      </w:r>
      <w:r w:rsidR="00E41C36">
        <w:rPr>
          <w:bCs/>
          <w:lang w:val="cs-CZ"/>
        </w:rPr>
        <w:t xml:space="preserve"> </w:t>
      </w:r>
      <w:r w:rsidR="00E41C36" w:rsidRPr="006E7BDD">
        <w:rPr>
          <w:bCs/>
          <w:lang w:val="cs-CZ"/>
        </w:rPr>
        <w:t>zahájila</w:t>
      </w:r>
      <w:r w:rsidR="005B4806" w:rsidRPr="006E7BDD">
        <w:rPr>
          <w:bCs/>
          <w:lang w:val="cs-CZ"/>
        </w:rPr>
        <w:t xml:space="preserve"> </w:t>
      </w:r>
      <w:r w:rsidR="00E41C36">
        <w:rPr>
          <w:bCs/>
          <w:lang w:val="cs-CZ"/>
        </w:rPr>
        <w:t>h</w:t>
      </w:r>
      <w:r w:rsidR="00E41C36" w:rsidRPr="006E7BDD">
        <w:rPr>
          <w:bCs/>
          <w:lang w:val="cs-CZ"/>
        </w:rPr>
        <w:t xml:space="preserve">ospodářský rok 2019 </w:t>
      </w:r>
      <w:r w:rsidR="00D52184">
        <w:rPr>
          <w:bCs/>
          <w:lang w:val="cs-CZ"/>
        </w:rPr>
        <w:t xml:space="preserve">u </w:t>
      </w:r>
      <w:r w:rsidR="009317D1" w:rsidRPr="006E7BDD">
        <w:rPr>
          <w:bCs/>
          <w:lang w:val="cs-CZ"/>
        </w:rPr>
        <w:t>přijatých zakázek</w:t>
      </w:r>
      <w:r w:rsidR="00D52184">
        <w:rPr>
          <w:bCs/>
          <w:lang w:val="cs-CZ"/>
        </w:rPr>
        <w:t xml:space="preserve"> dvoumístným číslem</w:t>
      </w:r>
      <w:r w:rsidR="003E237C">
        <w:rPr>
          <w:bCs/>
          <w:lang w:val="cs-CZ"/>
        </w:rPr>
        <w:t xml:space="preserve">, které </w:t>
      </w:r>
      <w:r w:rsidR="009317D1" w:rsidRPr="006E7BDD">
        <w:rPr>
          <w:bCs/>
          <w:lang w:val="cs-CZ"/>
        </w:rPr>
        <w:t>vzrostl</w:t>
      </w:r>
      <w:r w:rsidR="003E237C">
        <w:rPr>
          <w:bCs/>
          <w:lang w:val="cs-CZ"/>
        </w:rPr>
        <w:t>o</w:t>
      </w:r>
      <w:r w:rsidR="009317D1" w:rsidRPr="006E7BDD">
        <w:rPr>
          <w:bCs/>
          <w:lang w:val="cs-CZ"/>
        </w:rPr>
        <w:t xml:space="preserve"> oproti čtvrtletí předchozího roku na </w:t>
      </w:r>
      <w:r w:rsidR="00CE56BD" w:rsidRPr="006E7BDD">
        <w:rPr>
          <w:bCs/>
          <w:lang w:val="cs-CZ"/>
        </w:rPr>
        <w:t xml:space="preserve">276,4 </w:t>
      </w:r>
      <w:r w:rsidR="009317D1" w:rsidRPr="006E7BDD">
        <w:rPr>
          <w:bCs/>
          <w:lang w:val="cs-CZ"/>
        </w:rPr>
        <w:t>mil.</w:t>
      </w:r>
      <w:r w:rsidR="00CE56BD" w:rsidRPr="006E7BDD">
        <w:rPr>
          <w:bCs/>
          <w:lang w:val="cs-CZ"/>
        </w:rPr>
        <w:t xml:space="preserve"> €</w:t>
      </w:r>
      <w:r w:rsidR="009317D1" w:rsidRPr="006E7BDD">
        <w:rPr>
          <w:bCs/>
          <w:lang w:val="cs-CZ"/>
        </w:rPr>
        <w:t>.</w:t>
      </w:r>
      <w:r w:rsidR="00860C9C" w:rsidRPr="006E7BDD">
        <w:rPr>
          <w:bCs/>
          <w:lang w:val="cs-CZ"/>
        </w:rPr>
        <w:t xml:space="preserve"> K silnému růstu nad běžný průměr </w:t>
      </w:r>
      <w:r w:rsidR="003A6215">
        <w:rPr>
          <w:bCs/>
          <w:lang w:val="cs-CZ"/>
        </w:rPr>
        <w:t xml:space="preserve">v </w:t>
      </w:r>
      <w:r w:rsidR="003E237C">
        <w:rPr>
          <w:bCs/>
          <w:lang w:val="cs-CZ"/>
        </w:rPr>
        <w:t>to</w:t>
      </w:r>
      <w:r w:rsidR="003A6215">
        <w:rPr>
          <w:bCs/>
          <w:lang w:val="cs-CZ"/>
        </w:rPr>
        <w:t>mto</w:t>
      </w:r>
      <w:r w:rsidR="003E237C">
        <w:rPr>
          <w:bCs/>
          <w:lang w:val="cs-CZ"/>
        </w:rPr>
        <w:t xml:space="preserve"> sektoru</w:t>
      </w:r>
      <w:r w:rsidR="00860C9C" w:rsidRPr="006E7BDD">
        <w:rPr>
          <w:bCs/>
          <w:lang w:val="cs-CZ"/>
        </w:rPr>
        <w:t xml:space="preserve"> </w:t>
      </w:r>
      <w:r w:rsidR="003A6215" w:rsidRPr="006E7BDD">
        <w:rPr>
          <w:bCs/>
          <w:lang w:val="cs-CZ"/>
        </w:rPr>
        <w:t xml:space="preserve">přispěly </w:t>
      </w:r>
      <w:r w:rsidR="00D52184">
        <w:rPr>
          <w:bCs/>
          <w:lang w:val="cs-CZ"/>
        </w:rPr>
        <w:t>podstatně</w:t>
      </w:r>
      <w:r w:rsidR="00860C9C" w:rsidRPr="006E7BDD">
        <w:rPr>
          <w:bCs/>
          <w:lang w:val="cs-CZ"/>
        </w:rPr>
        <w:t xml:space="preserve"> více servisní zakázky a objednávky pro potisk skládaných krabic, potisk na sklo a ceninový tisk. Obrat předčil částkou </w:t>
      </w:r>
      <w:r w:rsidR="00CE56BD" w:rsidRPr="006E7BDD">
        <w:rPr>
          <w:bCs/>
          <w:lang w:val="cs-CZ"/>
        </w:rPr>
        <w:t xml:space="preserve">230,7 </w:t>
      </w:r>
      <w:r w:rsidR="00860C9C" w:rsidRPr="006E7BDD">
        <w:rPr>
          <w:bCs/>
          <w:lang w:val="cs-CZ"/>
        </w:rPr>
        <w:t>mil</w:t>
      </w:r>
      <w:r w:rsidR="00CE56BD" w:rsidRPr="006E7BDD">
        <w:rPr>
          <w:bCs/>
          <w:lang w:val="cs-CZ"/>
        </w:rPr>
        <w:t xml:space="preserve">. € </w:t>
      </w:r>
      <w:r w:rsidR="00860C9C" w:rsidRPr="006E7BDD">
        <w:rPr>
          <w:bCs/>
          <w:lang w:val="cs-CZ"/>
        </w:rPr>
        <w:t xml:space="preserve">hodnotu předchozího roku o </w:t>
      </w:r>
      <w:r w:rsidR="00CE56BD" w:rsidRPr="006E7BDD">
        <w:rPr>
          <w:bCs/>
          <w:lang w:val="cs-CZ"/>
        </w:rPr>
        <w:t xml:space="preserve">6,2 %. EBIT </w:t>
      </w:r>
      <w:r w:rsidR="00860C9C" w:rsidRPr="006E7BDD">
        <w:rPr>
          <w:bCs/>
          <w:lang w:val="cs-CZ"/>
        </w:rPr>
        <w:t xml:space="preserve">byl z důvodu nižší úrovně obratu ještě lehce záporný a </w:t>
      </w:r>
      <w:r w:rsidR="003A6215">
        <w:rPr>
          <w:bCs/>
          <w:lang w:val="cs-CZ"/>
        </w:rPr>
        <w:t>blížil</w:t>
      </w:r>
      <w:r w:rsidR="00860C9C" w:rsidRPr="006E7BDD">
        <w:rPr>
          <w:bCs/>
          <w:lang w:val="cs-CZ"/>
        </w:rPr>
        <w:t xml:space="preserve"> se i přes vysoké náklady na </w:t>
      </w:r>
      <w:r w:rsidR="003A6215">
        <w:rPr>
          <w:bCs/>
          <w:lang w:val="cs-CZ"/>
        </w:rPr>
        <w:t xml:space="preserve">vstup na </w:t>
      </w:r>
      <w:r w:rsidR="00860C9C" w:rsidRPr="006E7BDD">
        <w:rPr>
          <w:bCs/>
          <w:lang w:val="cs-CZ"/>
        </w:rPr>
        <w:t xml:space="preserve">trh a výdaje na růst ve výši </w:t>
      </w:r>
      <w:r w:rsidR="00CE56BD" w:rsidRPr="006E7BDD">
        <w:rPr>
          <w:lang w:val="cs-CZ"/>
        </w:rPr>
        <w:t xml:space="preserve">–2,8 </w:t>
      </w:r>
      <w:r w:rsidR="00860C9C" w:rsidRPr="006E7BDD">
        <w:rPr>
          <w:lang w:val="cs-CZ"/>
        </w:rPr>
        <w:t>mil</w:t>
      </w:r>
      <w:r w:rsidR="00CE56BD" w:rsidRPr="006E7BDD">
        <w:rPr>
          <w:lang w:val="cs-CZ"/>
        </w:rPr>
        <w:t xml:space="preserve">. € </w:t>
      </w:r>
      <w:r w:rsidR="00860C9C" w:rsidRPr="006E7BDD">
        <w:rPr>
          <w:lang w:val="cs-CZ"/>
        </w:rPr>
        <w:t>téměř hodnotě předchozího roku</w:t>
      </w:r>
      <w:r w:rsidR="00CE56BD" w:rsidRPr="006E7BDD">
        <w:rPr>
          <w:lang w:val="cs-CZ"/>
        </w:rPr>
        <w:t xml:space="preserve"> –1,9 </w:t>
      </w:r>
      <w:r w:rsidR="00860C9C" w:rsidRPr="006E7BDD">
        <w:rPr>
          <w:lang w:val="cs-CZ"/>
        </w:rPr>
        <w:t>mil</w:t>
      </w:r>
      <w:r w:rsidR="00CE56BD" w:rsidRPr="006E7BDD">
        <w:rPr>
          <w:lang w:val="cs-CZ"/>
        </w:rPr>
        <w:t xml:space="preserve">. €. </w:t>
      </w:r>
      <w:r w:rsidR="00860C9C" w:rsidRPr="006E7BDD">
        <w:rPr>
          <w:lang w:val="cs-CZ"/>
        </w:rPr>
        <w:t xml:space="preserve">Částkou </w:t>
      </w:r>
      <w:r w:rsidR="00C905B6" w:rsidRPr="006E7BDD">
        <w:rPr>
          <w:lang w:val="cs-CZ"/>
        </w:rPr>
        <w:t xml:space="preserve">–4,9 </w:t>
      </w:r>
      <w:r w:rsidR="00860C9C" w:rsidRPr="006E7BDD">
        <w:rPr>
          <w:lang w:val="cs-CZ"/>
        </w:rPr>
        <w:t>mil</w:t>
      </w:r>
      <w:r w:rsidR="00C905B6" w:rsidRPr="006E7BDD">
        <w:rPr>
          <w:lang w:val="cs-CZ"/>
        </w:rPr>
        <w:t xml:space="preserve">. € </w:t>
      </w:r>
      <w:r w:rsidR="00860C9C" w:rsidRPr="006E7BDD">
        <w:rPr>
          <w:lang w:val="cs-CZ"/>
        </w:rPr>
        <w:t xml:space="preserve">odpovídá výsledek koncernu v prvním čtvrtletí </w:t>
      </w:r>
      <w:r w:rsidR="00C905B6" w:rsidRPr="006E7BDD">
        <w:rPr>
          <w:lang w:val="cs-CZ"/>
        </w:rPr>
        <w:t xml:space="preserve">2019 </w:t>
      </w:r>
      <w:r w:rsidR="00860C9C" w:rsidRPr="006E7BDD">
        <w:rPr>
          <w:lang w:val="cs-CZ"/>
        </w:rPr>
        <w:t>podílovému výsledku á akcie</w:t>
      </w:r>
      <w:r w:rsidR="00C905B6" w:rsidRPr="006E7BDD">
        <w:rPr>
          <w:lang w:val="cs-CZ"/>
        </w:rPr>
        <w:t xml:space="preserve"> –0,30 €.</w:t>
      </w:r>
    </w:p>
    <w:p w:rsidR="00A44634" w:rsidRPr="006E7BDD" w:rsidRDefault="00CE56BD" w:rsidP="00A44634">
      <w:pPr>
        <w:pStyle w:val="Nadpis3"/>
        <w:rPr>
          <w:lang w:val="cs-CZ"/>
        </w:rPr>
      </w:pPr>
      <w:r w:rsidRPr="006E7BDD">
        <w:rPr>
          <w:lang w:val="cs-CZ"/>
        </w:rPr>
        <w:t>S</w:t>
      </w:r>
      <w:r w:rsidR="00860C9C" w:rsidRPr="006E7BDD">
        <w:rPr>
          <w:lang w:val="cs-CZ"/>
        </w:rPr>
        <w:t xml:space="preserve">ilný objem došlých zakázek u segmentu </w:t>
      </w:r>
      <w:proofErr w:type="spellStart"/>
      <w:r w:rsidRPr="006E7BDD">
        <w:rPr>
          <w:lang w:val="cs-CZ"/>
        </w:rPr>
        <w:t>Sheetfed</w:t>
      </w:r>
      <w:proofErr w:type="spellEnd"/>
    </w:p>
    <w:p w:rsidR="00A44634" w:rsidRPr="006E7BDD" w:rsidRDefault="00860C9C" w:rsidP="00F53973">
      <w:pPr>
        <w:spacing w:after="240"/>
        <w:ind w:right="281"/>
        <w:rPr>
          <w:szCs w:val="20"/>
          <w:lang w:val="cs-CZ"/>
        </w:rPr>
      </w:pPr>
      <w:r w:rsidRPr="006E7BDD">
        <w:rPr>
          <w:rFonts w:ascii="Arial" w:hAnsi="Arial" w:cs="Arial"/>
          <w:szCs w:val="20"/>
          <w:lang w:val="cs-CZ"/>
        </w:rPr>
        <w:t>Vedle potěšující</w:t>
      </w:r>
      <w:r w:rsidR="002C2146">
        <w:rPr>
          <w:rFonts w:ascii="Arial" w:hAnsi="Arial" w:cs="Arial"/>
          <w:szCs w:val="20"/>
          <w:lang w:val="cs-CZ"/>
        </w:rPr>
        <w:t xml:space="preserve">ch nových servisních zakázek </w:t>
      </w:r>
      <w:r w:rsidRPr="006E7BDD">
        <w:rPr>
          <w:rFonts w:ascii="Arial" w:hAnsi="Arial" w:cs="Arial"/>
          <w:szCs w:val="20"/>
          <w:lang w:val="cs-CZ"/>
        </w:rPr>
        <w:t>vedl</w:t>
      </w:r>
      <w:r w:rsidR="003E237C">
        <w:rPr>
          <w:rFonts w:ascii="Arial" w:hAnsi="Arial" w:cs="Arial"/>
          <w:szCs w:val="20"/>
          <w:lang w:val="cs-CZ"/>
        </w:rPr>
        <w:t>y</w:t>
      </w:r>
      <w:r w:rsidRPr="006E7BDD">
        <w:rPr>
          <w:rFonts w:ascii="Arial" w:hAnsi="Arial" w:cs="Arial"/>
          <w:szCs w:val="20"/>
          <w:lang w:val="cs-CZ"/>
        </w:rPr>
        <w:t xml:space="preserve"> výrazně vyšší objednávky strojů pro potisk obalů k růstu objemu došlých zakázek v segmentu </w:t>
      </w:r>
      <w:proofErr w:type="spellStart"/>
      <w:r w:rsidR="00CE56BD" w:rsidRPr="006E7BDD">
        <w:rPr>
          <w:rFonts w:ascii="Arial" w:hAnsi="Arial" w:cs="Arial"/>
          <w:szCs w:val="20"/>
          <w:lang w:val="cs-CZ"/>
        </w:rPr>
        <w:t>Shee</w:t>
      </w:r>
      <w:r w:rsidR="008C6097" w:rsidRPr="006E7BDD">
        <w:rPr>
          <w:rFonts w:ascii="Arial" w:hAnsi="Arial" w:cs="Arial"/>
          <w:szCs w:val="20"/>
          <w:lang w:val="cs-CZ"/>
        </w:rPr>
        <w:t>tfed</w:t>
      </w:r>
      <w:proofErr w:type="spellEnd"/>
      <w:r w:rsidR="008C6097" w:rsidRPr="006E7BDD">
        <w:rPr>
          <w:rFonts w:ascii="Arial" w:hAnsi="Arial" w:cs="Arial"/>
          <w:szCs w:val="20"/>
          <w:lang w:val="cs-CZ"/>
        </w:rPr>
        <w:t xml:space="preserve"> </w:t>
      </w:r>
      <w:r w:rsidRPr="006E7BDD">
        <w:rPr>
          <w:rFonts w:ascii="Arial" w:hAnsi="Arial" w:cs="Arial"/>
          <w:szCs w:val="20"/>
          <w:lang w:val="cs-CZ"/>
        </w:rPr>
        <w:t>o</w:t>
      </w:r>
      <w:r w:rsidR="008C6097" w:rsidRPr="006E7BDD">
        <w:rPr>
          <w:rFonts w:ascii="Arial" w:hAnsi="Arial" w:cs="Arial"/>
          <w:szCs w:val="20"/>
          <w:lang w:val="cs-CZ"/>
        </w:rPr>
        <w:t xml:space="preserve"> 12,4 % </w:t>
      </w:r>
      <w:r w:rsidRPr="006E7BDD">
        <w:rPr>
          <w:rFonts w:ascii="Arial" w:hAnsi="Arial" w:cs="Arial"/>
          <w:szCs w:val="20"/>
          <w:lang w:val="cs-CZ"/>
        </w:rPr>
        <w:t>na</w:t>
      </w:r>
      <w:r w:rsidR="008C6097" w:rsidRPr="006E7BDD">
        <w:rPr>
          <w:rFonts w:ascii="Arial" w:hAnsi="Arial" w:cs="Arial"/>
          <w:szCs w:val="20"/>
          <w:lang w:val="cs-CZ"/>
        </w:rPr>
        <w:t xml:space="preserve"> 173,5 </w:t>
      </w:r>
      <w:r w:rsidRPr="006E7BDD">
        <w:rPr>
          <w:rFonts w:ascii="Arial" w:hAnsi="Arial" w:cs="Arial"/>
          <w:szCs w:val="20"/>
          <w:lang w:val="cs-CZ"/>
        </w:rPr>
        <w:t>mil</w:t>
      </w:r>
      <w:r w:rsidR="008C6097" w:rsidRPr="006E7BDD">
        <w:rPr>
          <w:rFonts w:ascii="Arial" w:hAnsi="Arial" w:cs="Arial"/>
          <w:szCs w:val="20"/>
          <w:lang w:val="cs-CZ"/>
        </w:rPr>
        <w:t>. €</w:t>
      </w:r>
      <w:r w:rsidR="00CE56BD" w:rsidRPr="006E7BDD">
        <w:rPr>
          <w:rFonts w:ascii="Arial" w:hAnsi="Arial" w:cs="Arial"/>
          <w:szCs w:val="20"/>
          <w:lang w:val="cs-CZ"/>
        </w:rPr>
        <w:t xml:space="preserve">. </w:t>
      </w:r>
      <w:r w:rsidR="003E237C">
        <w:rPr>
          <w:rFonts w:ascii="Arial" w:hAnsi="Arial" w:cs="Arial"/>
          <w:szCs w:val="20"/>
          <w:lang w:val="cs-CZ"/>
        </w:rPr>
        <w:t xml:space="preserve">Obrat </w:t>
      </w:r>
      <w:r w:rsidR="0043291F">
        <w:rPr>
          <w:rFonts w:ascii="Arial" w:hAnsi="Arial" w:cs="Arial"/>
          <w:szCs w:val="20"/>
          <w:lang w:val="cs-CZ"/>
        </w:rPr>
        <w:t xml:space="preserve">se </w:t>
      </w:r>
      <w:r w:rsidR="002C2146">
        <w:rPr>
          <w:rFonts w:ascii="Arial" w:hAnsi="Arial" w:cs="Arial"/>
          <w:szCs w:val="20"/>
          <w:lang w:val="cs-CZ"/>
        </w:rPr>
        <w:t>lehce</w:t>
      </w:r>
      <w:r w:rsidR="003E237C">
        <w:rPr>
          <w:rFonts w:ascii="Arial" w:hAnsi="Arial" w:cs="Arial"/>
          <w:szCs w:val="20"/>
          <w:lang w:val="cs-CZ"/>
        </w:rPr>
        <w:t xml:space="preserve"> </w:t>
      </w:r>
      <w:r w:rsidR="002C2146">
        <w:rPr>
          <w:rFonts w:ascii="Arial" w:hAnsi="Arial" w:cs="Arial"/>
          <w:szCs w:val="20"/>
          <w:lang w:val="cs-CZ"/>
        </w:rPr>
        <w:t>z</w:t>
      </w:r>
      <w:r w:rsidR="0043291F">
        <w:rPr>
          <w:rFonts w:ascii="Arial" w:hAnsi="Arial" w:cs="Arial"/>
          <w:szCs w:val="20"/>
          <w:lang w:val="cs-CZ"/>
        </w:rPr>
        <w:t xml:space="preserve">výšil </w:t>
      </w:r>
      <w:r w:rsidR="003E237C">
        <w:rPr>
          <w:rFonts w:ascii="Arial" w:hAnsi="Arial" w:cs="Arial"/>
          <w:szCs w:val="20"/>
          <w:lang w:val="cs-CZ"/>
        </w:rPr>
        <w:t xml:space="preserve">o </w:t>
      </w:r>
      <w:r w:rsidR="00CE56BD" w:rsidRPr="006E7BDD">
        <w:rPr>
          <w:rFonts w:ascii="Arial" w:hAnsi="Arial" w:cs="Arial"/>
          <w:szCs w:val="20"/>
          <w:lang w:val="cs-CZ"/>
        </w:rPr>
        <w:t xml:space="preserve">1,8 % </w:t>
      </w:r>
      <w:r w:rsidR="008C4732" w:rsidRPr="006E7BDD">
        <w:rPr>
          <w:rFonts w:ascii="Arial" w:hAnsi="Arial" w:cs="Arial"/>
          <w:szCs w:val="20"/>
          <w:lang w:val="cs-CZ"/>
        </w:rPr>
        <w:t xml:space="preserve">na </w:t>
      </w:r>
      <w:r w:rsidR="008C6097" w:rsidRPr="006E7BDD">
        <w:rPr>
          <w:rFonts w:ascii="Arial" w:hAnsi="Arial" w:cs="Arial"/>
          <w:szCs w:val="20"/>
          <w:lang w:val="cs-CZ"/>
        </w:rPr>
        <w:t xml:space="preserve">113,0 </w:t>
      </w:r>
      <w:r w:rsidR="008C4732" w:rsidRPr="006E7BDD">
        <w:rPr>
          <w:rFonts w:ascii="Arial" w:hAnsi="Arial" w:cs="Arial"/>
          <w:szCs w:val="20"/>
          <w:lang w:val="cs-CZ"/>
        </w:rPr>
        <w:t>mil</w:t>
      </w:r>
      <w:r w:rsidR="008C6097" w:rsidRPr="006E7BDD">
        <w:rPr>
          <w:rFonts w:ascii="Arial" w:hAnsi="Arial" w:cs="Arial"/>
          <w:szCs w:val="20"/>
          <w:lang w:val="cs-CZ"/>
        </w:rPr>
        <w:t>. €</w:t>
      </w:r>
      <w:r w:rsidR="00CE56BD" w:rsidRPr="006E7BDD">
        <w:rPr>
          <w:rFonts w:ascii="Arial" w:hAnsi="Arial" w:cs="Arial"/>
          <w:szCs w:val="20"/>
          <w:lang w:val="cs-CZ"/>
        </w:rPr>
        <w:t xml:space="preserve">. </w:t>
      </w:r>
      <w:r w:rsidR="008C4732" w:rsidRPr="006E7BDD">
        <w:rPr>
          <w:rFonts w:ascii="Arial" w:hAnsi="Arial" w:cs="Arial"/>
          <w:szCs w:val="20"/>
          <w:lang w:val="cs-CZ"/>
        </w:rPr>
        <w:t xml:space="preserve">Dobrý stav zakázek </w:t>
      </w:r>
      <w:r w:rsidR="003E237C">
        <w:rPr>
          <w:rFonts w:ascii="Arial" w:hAnsi="Arial" w:cs="Arial"/>
          <w:szCs w:val="20"/>
          <w:lang w:val="cs-CZ"/>
        </w:rPr>
        <w:t xml:space="preserve">ve výši </w:t>
      </w:r>
      <w:r w:rsidR="00CE56BD" w:rsidRPr="006E7BDD">
        <w:rPr>
          <w:rFonts w:ascii="Arial" w:hAnsi="Arial" w:cs="Arial"/>
          <w:szCs w:val="20"/>
          <w:lang w:val="cs-CZ"/>
        </w:rPr>
        <w:t xml:space="preserve">250,5 </w:t>
      </w:r>
      <w:r w:rsidR="008C4732"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="008C4732" w:rsidRPr="006E7BDD">
        <w:rPr>
          <w:rFonts w:ascii="Arial" w:hAnsi="Arial" w:cs="Arial"/>
          <w:szCs w:val="20"/>
          <w:lang w:val="cs-CZ"/>
        </w:rPr>
        <w:t xml:space="preserve">se stará i nadále o vysoké vytížení kapacity. Z důvodu mixu produktů a nákladů na veletrh </w:t>
      </w:r>
      <w:r w:rsidR="00CE56BD" w:rsidRPr="006E7BDD">
        <w:rPr>
          <w:rFonts w:ascii="Arial" w:hAnsi="Arial" w:cs="Arial"/>
          <w:szCs w:val="20"/>
          <w:lang w:val="cs-CZ"/>
        </w:rPr>
        <w:t xml:space="preserve">Print </w:t>
      </w:r>
      <w:proofErr w:type="spellStart"/>
      <w:r w:rsidR="00CE56BD" w:rsidRPr="006E7BDD">
        <w:rPr>
          <w:rFonts w:ascii="Arial" w:hAnsi="Arial" w:cs="Arial"/>
          <w:szCs w:val="20"/>
          <w:lang w:val="cs-CZ"/>
        </w:rPr>
        <w:t>China</w:t>
      </w:r>
      <w:proofErr w:type="spellEnd"/>
      <w:r w:rsidR="00CE56BD" w:rsidRPr="006E7BDD">
        <w:rPr>
          <w:rFonts w:ascii="Arial" w:hAnsi="Arial" w:cs="Arial"/>
          <w:szCs w:val="20"/>
          <w:lang w:val="cs-CZ"/>
        </w:rPr>
        <w:t xml:space="preserve"> </w:t>
      </w:r>
      <w:r w:rsidR="008C4732" w:rsidRPr="006E7BDD">
        <w:rPr>
          <w:rFonts w:ascii="Arial" w:hAnsi="Arial" w:cs="Arial"/>
          <w:szCs w:val="20"/>
          <w:lang w:val="cs-CZ"/>
        </w:rPr>
        <w:t xml:space="preserve">se pohyboval </w:t>
      </w:r>
      <w:r w:rsidR="00CE56BD" w:rsidRPr="006E7BDD">
        <w:rPr>
          <w:rFonts w:ascii="Arial" w:hAnsi="Arial" w:cs="Arial"/>
          <w:szCs w:val="20"/>
          <w:lang w:val="cs-CZ"/>
        </w:rPr>
        <w:t xml:space="preserve">EBIT </w:t>
      </w:r>
      <w:r w:rsidR="008C4732" w:rsidRPr="006E7BDD">
        <w:rPr>
          <w:rFonts w:ascii="Arial" w:hAnsi="Arial" w:cs="Arial"/>
          <w:szCs w:val="20"/>
          <w:lang w:val="cs-CZ"/>
        </w:rPr>
        <w:t>s</w:t>
      </w:r>
      <w:r w:rsidR="003E237C">
        <w:rPr>
          <w:rFonts w:ascii="Arial" w:hAnsi="Arial" w:cs="Arial"/>
          <w:szCs w:val="20"/>
          <w:lang w:val="cs-CZ"/>
        </w:rPr>
        <w:t> </w:t>
      </w:r>
      <w:r w:rsidR="008C4732" w:rsidRPr="006E7BDD">
        <w:rPr>
          <w:rFonts w:ascii="Arial" w:hAnsi="Arial" w:cs="Arial"/>
          <w:szCs w:val="20"/>
          <w:lang w:val="cs-CZ"/>
        </w:rPr>
        <w:t>částkou</w:t>
      </w:r>
      <w:r w:rsidR="003E237C">
        <w:rPr>
          <w:rFonts w:ascii="Arial" w:hAnsi="Arial" w:cs="Arial"/>
          <w:szCs w:val="20"/>
          <w:lang w:val="cs-CZ"/>
        </w:rPr>
        <w:t xml:space="preserve"> </w:t>
      </w:r>
      <w:r w:rsidR="00CE56BD" w:rsidRPr="006E7BDD">
        <w:rPr>
          <w:rFonts w:ascii="Arial" w:hAnsi="Arial" w:cs="Arial"/>
          <w:szCs w:val="20"/>
          <w:lang w:val="cs-CZ"/>
        </w:rPr>
        <w:t xml:space="preserve">–3,1 </w:t>
      </w:r>
      <w:r w:rsidR="008C4732" w:rsidRPr="006E7BDD">
        <w:rPr>
          <w:rFonts w:ascii="Arial" w:hAnsi="Arial" w:cs="Arial"/>
          <w:szCs w:val="20"/>
          <w:lang w:val="cs-CZ"/>
        </w:rPr>
        <w:t xml:space="preserve">mil. </w:t>
      </w:r>
      <w:r w:rsidR="00CE56BD" w:rsidRPr="006E7BDD">
        <w:rPr>
          <w:rFonts w:ascii="Arial" w:hAnsi="Arial" w:cs="Arial"/>
          <w:szCs w:val="20"/>
          <w:lang w:val="cs-CZ"/>
        </w:rPr>
        <w:t xml:space="preserve">€ </w:t>
      </w:r>
      <w:r w:rsidR="008C4732" w:rsidRPr="006E7BDD">
        <w:rPr>
          <w:rFonts w:ascii="Arial" w:hAnsi="Arial" w:cs="Arial"/>
          <w:szCs w:val="20"/>
          <w:lang w:val="cs-CZ"/>
        </w:rPr>
        <w:t xml:space="preserve">pod </w:t>
      </w:r>
      <w:r w:rsidR="003E237C">
        <w:rPr>
          <w:rFonts w:ascii="Arial" w:hAnsi="Arial" w:cs="Arial"/>
          <w:szCs w:val="20"/>
          <w:lang w:val="cs-CZ"/>
        </w:rPr>
        <w:t xml:space="preserve">úrovní </w:t>
      </w:r>
      <w:r w:rsidR="008C4732" w:rsidRPr="006E7BDD">
        <w:rPr>
          <w:rFonts w:ascii="Arial" w:hAnsi="Arial" w:cs="Arial"/>
          <w:szCs w:val="20"/>
          <w:lang w:val="cs-CZ"/>
        </w:rPr>
        <w:t>předchozí</w:t>
      </w:r>
      <w:r w:rsidR="003E237C">
        <w:rPr>
          <w:rFonts w:ascii="Arial" w:hAnsi="Arial" w:cs="Arial"/>
          <w:szCs w:val="20"/>
          <w:lang w:val="cs-CZ"/>
        </w:rPr>
        <w:t>ho</w:t>
      </w:r>
      <w:r w:rsidR="008C4732" w:rsidRPr="006E7BDD">
        <w:rPr>
          <w:rFonts w:ascii="Arial" w:hAnsi="Arial" w:cs="Arial"/>
          <w:szCs w:val="20"/>
          <w:lang w:val="cs-CZ"/>
        </w:rPr>
        <w:t xml:space="preserve"> rok</w:t>
      </w:r>
      <w:r w:rsidR="003E237C">
        <w:rPr>
          <w:rFonts w:ascii="Arial" w:hAnsi="Arial" w:cs="Arial"/>
          <w:szCs w:val="20"/>
          <w:lang w:val="cs-CZ"/>
        </w:rPr>
        <w:t>u</w:t>
      </w:r>
      <w:r w:rsidR="00CE56BD" w:rsidRPr="006E7BDD">
        <w:rPr>
          <w:rFonts w:ascii="Arial" w:hAnsi="Arial" w:cs="Arial"/>
          <w:szCs w:val="20"/>
          <w:lang w:val="cs-CZ"/>
        </w:rPr>
        <w:t xml:space="preserve"> (0,4 </w:t>
      </w:r>
      <w:r w:rsidR="008C4732" w:rsidRPr="006E7BDD">
        <w:rPr>
          <w:rFonts w:ascii="Arial" w:hAnsi="Arial" w:cs="Arial"/>
          <w:szCs w:val="20"/>
          <w:lang w:val="cs-CZ"/>
        </w:rPr>
        <w:t xml:space="preserve">mil. </w:t>
      </w:r>
      <w:r w:rsidR="00CE56BD" w:rsidRPr="006E7BDD">
        <w:rPr>
          <w:rFonts w:ascii="Arial" w:hAnsi="Arial" w:cs="Arial"/>
          <w:szCs w:val="20"/>
          <w:lang w:val="cs-CZ"/>
        </w:rPr>
        <w:t>€).</w:t>
      </w:r>
    </w:p>
    <w:p w:rsidR="00A44634" w:rsidRPr="006E7BDD" w:rsidRDefault="00114FE6" w:rsidP="00A44634">
      <w:pPr>
        <w:pStyle w:val="Nadpis3"/>
        <w:rPr>
          <w:lang w:val="cs-CZ"/>
        </w:rPr>
      </w:pPr>
      <w:r w:rsidRPr="006E7BDD">
        <w:rPr>
          <w:lang w:val="cs-CZ"/>
        </w:rPr>
        <w:t>Výdaje na růst zatěžují výsledek</w:t>
      </w:r>
      <w:r w:rsidR="003E237C">
        <w:rPr>
          <w:lang w:val="cs-CZ"/>
        </w:rPr>
        <w:t xml:space="preserve"> segmentu</w:t>
      </w:r>
      <w:r w:rsidRPr="006E7BDD">
        <w:rPr>
          <w:lang w:val="cs-CZ"/>
        </w:rPr>
        <w:t xml:space="preserve"> D</w:t>
      </w:r>
      <w:r w:rsidR="00A44634" w:rsidRPr="006E7BDD">
        <w:rPr>
          <w:lang w:val="cs-CZ"/>
        </w:rPr>
        <w:t>igital &amp; Web</w:t>
      </w:r>
    </w:p>
    <w:p w:rsidR="00A44634" w:rsidRPr="006E7BDD" w:rsidRDefault="00114FE6" w:rsidP="00A44634">
      <w:pPr>
        <w:spacing w:after="240"/>
        <w:rPr>
          <w:szCs w:val="20"/>
          <w:lang w:val="cs-CZ"/>
        </w:rPr>
      </w:pPr>
      <w:r w:rsidRPr="006E7BDD">
        <w:rPr>
          <w:rFonts w:ascii="Arial" w:hAnsi="Arial" w:cs="Arial"/>
          <w:szCs w:val="20"/>
          <w:lang w:val="cs-CZ"/>
        </w:rPr>
        <w:t xml:space="preserve">I přes </w:t>
      </w:r>
      <w:r w:rsidR="002C2146">
        <w:rPr>
          <w:rFonts w:ascii="Arial" w:hAnsi="Arial" w:cs="Arial"/>
          <w:szCs w:val="20"/>
          <w:lang w:val="cs-CZ"/>
        </w:rPr>
        <w:t>značný nárůst servisních zakázek</w:t>
      </w:r>
      <w:r w:rsidRPr="006E7BDD">
        <w:rPr>
          <w:rFonts w:ascii="Arial" w:hAnsi="Arial" w:cs="Arial"/>
          <w:szCs w:val="20"/>
          <w:lang w:val="cs-CZ"/>
        </w:rPr>
        <w:t xml:space="preserve"> zůstaly objednávky segmentu</w:t>
      </w:r>
      <w:r w:rsidR="00CE56BD" w:rsidRPr="006E7BDD">
        <w:rPr>
          <w:rFonts w:ascii="Arial" w:hAnsi="Arial" w:cs="Arial"/>
          <w:szCs w:val="20"/>
          <w:lang w:val="cs-CZ"/>
        </w:rPr>
        <w:t xml:space="preserve"> Digital &amp; Web </w:t>
      </w:r>
      <w:r w:rsidRPr="006E7BDD">
        <w:rPr>
          <w:rFonts w:ascii="Arial" w:hAnsi="Arial" w:cs="Arial"/>
          <w:szCs w:val="20"/>
          <w:lang w:val="cs-CZ"/>
        </w:rPr>
        <w:t xml:space="preserve">ve výši </w:t>
      </w:r>
      <w:r w:rsidR="00CE56BD" w:rsidRPr="006E7BDD">
        <w:rPr>
          <w:rFonts w:ascii="Arial" w:hAnsi="Arial" w:cs="Arial"/>
          <w:szCs w:val="20"/>
          <w:lang w:val="cs-CZ"/>
        </w:rPr>
        <w:t xml:space="preserve">31,9 </w:t>
      </w:r>
      <w:r w:rsidRPr="006E7BDD">
        <w:rPr>
          <w:rFonts w:ascii="Arial" w:hAnsi="Arial" w:cs="Arial"/>
          <w:szCs w:val="20"/>
          <w:lang w:val="cs-CZ"/>
        </w:rPr>
        <w:t xml:space="preserve">mil. </w:t>
      </w:r>
      <w:r w:rsidR="00CE56BD" w:rsidRPr="006E7BDD">
        <w:rPr>
          <w:rFonts w:ascii="Arial" w:hAnsi="Arial" w:cs="Arial"/>
          <w:szCs w:val="20"/>
          <w:lang w:val="cs-CZ"/>
        </w:rPr>
        <w:t xml:space="preserve">€ </w:t>
      </w:r>
      <w:r w:rsidRPr="006E7BDD">
        <w:rPr>
          <w:rFonts w:ascii="Arial" w:hAnsi="Arial" w:cs="Arial"/>
          <w:szCs w:val="20"/>
          <w:lang w:val="cs-CZ"/>
        </w:rPr>
        <w:t>z důvodu m</w:t>
      </w:r>
      <w:r w:rsidR="0043291F">
        <w:rPr>
          <w:rFonts w:ascii="Arial" w:hAnsi="Arial" w:cs="Arial"/>
          <w:szCs w:val="20"/>
          <w:lang w:val="cs-CZ"/>
        </w:rPr>
        <w:t xml:space="preserve">enšího počtu </w:t>
      </w:r>
      <w:r w:rsidRPr="006E7BDD">
        <w:rPr>
          <w:rFonts w:ascii="Arial" w:hAnsi="Arial" w:cs="Arial"/>
          <w:szCs w:val="20"/>
          <w:lang w:val="cs-CZ"/>
        </w:rPr>
        <w:t xml:space="preserve">zakázek na stroje pro novinový tisk a flexibilní potisk obalů pod hodnotou předchozího roku </w:t>
      </w:r>
      <w:r w:rsidR="00CE56BD" w:rsidRPr="006E7BDD">
        <w:rPr>
          <w:rFonts w:ascii="Arial" w:hAnsi="Arial" w:cs="Arial"/>
          <w:szCs w:val="20"/>
          <w:lang w:val="cs-CZ"/>
        </w:rPr>
        <w:t xml:space="preserve">45,2 </w:t>
      </w:r>
      <w:r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€. </w:t>
      </w:r>
      <w:r w:rsidR="003E237C">
        <w:rPr>
          <w:rFonts w:ascii="Arial" w:hAnsi="Arial" w:cs="Arial"/>
          <w:szCs w:val="20"/>
          <w:lang w:val="cs-CZ"/>
        </w:rPr>
        <w:t>Obrat ve v</w:t>
      </w:r>
      <w:r w:rsidRPr="006E7BDD">
        <w:rPr>
          <w:rFonts w:ascii="Arial" w:hAnsi="Arial" w:cs="Arial"/>
          <w:szCs w:val="20"/>
          <w:lang w:val="cs-CZ"/>
        </w:rPr>
        <w:t>ýš</w:t>
      </w:r>
      <w:r w:rsidR="003E237C">
        <w:rPr>
          <w:rFonts w:ascii="Arial" w:hAnsi="Arial" w:cs="Arial"/>
          <w:szCs w:val="20"/>
          <w:lang w:val="cs-CZ"/>
        </w:rPr>
        <w:t>i</w:t>
      </w:r>
      <w:r w:rsidRPr="006E7BDD">
        <w:rPr>
          <w:rFonts w:ascii="Arial" w:hAnsi="Arial" w:cs="Arial"/>
          <w:szCs w:val="20"/>
          <w:lang w:val="cs-CZ"/>
        </w:rPr>
        <w:t xml:space="preserve"> </w:t>
      </w:r>
      <w:r w:rsidR="00CE56BD" w:rsidRPr="006E7BDD">
        <w:rPr>
          <w:rFonts w:ascii="Arial" w:hAnsi="Arial" w:cs="Arial"/>
          <w:szCs w:val="20"/>
          <w:lang w:val="cs-CZ"/>
        </w:rPr>
        <w:t xml:space="preserve">32,4 </w:t>
      </w:r>
      <w:r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="003A6215">
        <w:rPr>
          <w:rFonts w:ascii="Arial" w:hAnsi="Arial" w:cs="Arial"/>
          <w:szCs w:val="20"/>
          <w:lang w:val="cs-CZ"/>
        </w:rPr>
        <w:t>vzrostl</w:t>
      </w:r>
      <w:r w:rsidRPr="006E7BDD">
        <w:rPr>
          <w:rFonts w:ascii="Arial" w:hAnsi="Arial" w:cs="Arial"/>
          <w:szCs w:val="20"/>
          <w:lang w:val="cs-CZ"/>
        </w:rPr>
        <w:t xml:space="preserve"> na úrov</w:t>
      </w:r>
      <w:r w:rsidR="003A6215">
        <w:rPr>
          <w:rFonts w:ascii="Arial" w:hAnsi="Arial" w:cs="Arial"/>
          <w:szCs w:val="20"/>
          <w:lang w:val="cs-CZ"/>
        </w:rPr>
        <w:t>eň</w:t>
      </w:r>
      <w:r w:rsidRPr="006E7BDD">
        <w:rPr>
          <w:rFonts w:ascii="Arial" w:hAnsi="Arial" w:cs="Arial"/>
          <w:szCs w:val="20"/>
          <w:lang w:val="cs-CZ"/>
        </w:rPr>
        <w:t xml:space="preserve"> předchozího roku. Hodnota předchozího roku </w:t>
      </w:r>
      <w:r w:rsidR="00CE56BD" w:rsidRPr="006E7BDD">
        <w:rPr>
          <w:rFonts w:ascii="Arial" w:hAnsi="Arial" w:cs="Arial"/>
          <w:szCs w:val="20"/>
          <w:lang w:val="cs-CZ"/>
        </w:rPr>
        <w:t xml:space="preserve">32,5 </w:t>
      </w:r>
      <w:r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Pr="006E7BDD">
        <w:rPr>
          <w:rFonts w:ascii="Arial" w:hAnsi="Arial" w:cs="Arial"/>
          <w:szCs w:val="20"/>
          <w:lang w:val="cs-CZ"/>
        </w:rPr>
        <w:t xml:space="preserve">byla vylepšena vysokými tržbami servisu díky </w:t>
      </w:r>
      <w:r w:rsidR="001D7395" w:rsidRPr="006E7BDD">
        <w:rPr>
          <w:rFonts w:ascii="Arial" w:hAnsi="Arial" w:cs="Arial"/>
          <w:szCs w:val="20"/>
          <w:lang w:val="cs-CZ"/>
        </w:rPr>
        <w:t xml:space="preserve">velkému stěhování strojů. EBIT zatížený výdaji na vstup na trh a růst činil </w:t>
      </w:r>
      <w:r w:rsidR="00CE56BD" w:rsidRPr="006E7BDD">
        <w:rPr>
          <w:rFonts w:ascii="Arial" w:hAnsi="Arial" w:cs="Arial"/>
          <w:szCs w:val="20"/>
          <w:lang w:val="cs-CZ"/>
        </w:rPr>
        <w:t xml:space="preserve">–5,6 </w:t>
      </w:r>
      <w:r w:rsidR="001D7395"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="001D7395" w:rsidRPr="006E7BDD">
        <w:rPr>
          <w:rFonts w:ascii="Arial" w:hAnsi="Arial" w:cs="Arial"/>
          <w:szCs w:val="20"/>
          <w:lang w:val="cs-CZ"/>
        </w:rPr>
        <w:t>oproti</w:t>
      </w:r>
      <w:r w:rsidR="00CE56BD" w:rsidRPr="006E7BDD">
        <w:rPr>
          <w:rFonts w:ascii="Arial" w:hAnsi="Arial" w:cs="Arial"/>
          <w:szCs w:val="20"/>
          <w:lang w:val="cs-CZ"/>
        </w:rPr>
        <w:t xml:space="preserve"> </w:t>
      </w:r>
      <w:r w:rsidR="003E237C">
        <w:rPr>
          <w:rFonts w:ascii="Arial" w:hAnsi="Arial" w:cs="Arial"/>
          <w:szCs w:val="20"/>
          <w:lang w:val="cs-CZ"/>
        </w:rPr>
        <w:t xml:space="preserve">hodnotě </w:t>
      </w:r>
      <w:r w:rsidR="0043291F">
        <w:rPr>
          <w:rFonts w:ascii="Arial" w:hAnsi="Arial" w:cs="Arial"/>
          <w:szCs w:val="20"/>
          <w:lang w:val="cs-CZ"/>
        </w:rPr>
        <w:t xml:space="preserve">předchozího roku </w:t>
      </w:r>
      <w:r w:rsidR="00CE56BD" w:rsidRPr="006E7BDD">
        <w:rPr>
          <w:rFonts w:ascii="Arial" w:hAnsi="Arial" w:cs="Arial"/>
          <w:szCs w:val="20"/>
          <w:lang w:val="cs-CZ"/>
        </w:rPr>
        <w:t xml:space="preserve">–4,5 </w:t>
      </w:r>
      <w:r w:rsidR="001D7395"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€. </w:t>
      </w:r>
      <w:r w:rsidR="003E237C">
        <w:rPr>
          <w:rFonts w:ascii="Arial" w:hAnsi="Arial" w:cs="Arial"/>
          <w:szCs w:val="20"/>
          <w:lang w:val="cs-CZ"/>
        </w:rPr>
        <w:t>Částka</w:t>
      </w:r>
      <w:r w:rsidR="001D7395" w:rsidRPr="006E7BDD">
        <w:rPr>
          <w:rFonts w:ascii="Arial" w:hAnsi="Arial" w:cs="Arial"/>
          <w:szCs w:val="20"/>
          <w:lang w:val="cs-CZ"/>
        </w:rPr>
        <w:t xml:space="preserve"> </w:t>
      </w:r>
      <w:r w:rsidR="00CE56BD" w:rsidRPr="006E7BDD">
        <w:rPr>
          <w:rFonts w:ascii="Arial" w:hAnsi="Arial" w:cs="Arial"/>
          <w:szCs w:val="20"/>
          <w:lang w:val="cs-CZ"/>
        </w:rPr>
        <w:t xml:space="preserve">85,4 </w:t>
      </w:r>
      <w:r w:rsidR="001D7395"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="001D7395" w:rsidRPr="006E7BDD">
        <w:rPr>
          <w:rFonts w:ascii="Arial" w:hAnsi="Arial" w:cs="Arial"/>
          <w:szCs w:val="20"/>
          <w:lang w:val="cs-CZ"/>
        </w:rPr>
        <w:t>objem</w:t>
      </w:r>
      <w:r w:rsidR="003E237C">
        <w:rPr>
          <w:rFonts w:ascii="Arial" w:hAnsi="Arial" w:cs="Arial"/>
          <w:szCs w:val="20"/>
          <w:lang w:val="cs-CZ"/>
        </w:rPr>
        <w:t>u</w:t>
      </w:r>
      <w:r w:rsidR="001D7395" w:rsidRPr="006E7BDD">
        <w:rPr>
          <w:rFonts w:ascii="Arial" w:hAnsi="Arial" w:cs="Arial"/>
          <w:szCs w:val="20"/>
          <w:lang w:val="cs-CZ"/>
        </w:rPr>
        <w:t xml:space="preserve"> přijatých zakázek a vytížení kapacity </w:t>
      </w:r>
      <w:r w:rsidR="003A6215">
        <w:rPr>
          <w:rFonts w:ascii="Arial" w:hAnsi="Arial" w:cs="Arial"/>
          <w:szCs w:val="20"/>
          <w:lang w:val="cs-CZ"/>
        </w:rPr>
        <w:t>jsou na</w:t>
      </w:r>
      <w:r w:rsidR="003E237C">
        <w:rPr>
          <w:rFonts w:ascii="Arial" w:hAnsi="Arial" w:cs="Arial"/>
          <w:szCs w:val="20"/>
          <w:lang w:val="cs-CZ"/>
        </w:rPr>
        <w:t xml:space="preserve"> </w:t>
      </w:r>
      <w:r w:rsidR="001D7395" w:rsidRPr="006E7BDD">
        <w:rPr>
          <w:rFonts w:ascii="Arial" w:hAnsi="Arial" w:cs="Arial"/>
          <w:szCs w:val="20"/>
          <w:lang w:val="cs-CZ"/>
        </w:rPr>
        <w:t>vysok</w:t>
      </w:r>
      <w:r w:rsidR="003A6215">
        <w:rPr>
          <w:rFonts w:ascii="Arial" w:hAnsi="Arial" w:cs="Arial"/>
          <w:szCs w:val="20"/>
          <w:lang w:val="cs-CZ"/>
        </w:rPr>
        <w:t>é</w:t>
      </w:r>
      <w:r w:rsidR="001D7395" w:rsidRPr="006E7BDD">
        <w:rPr>
          <w:rFonts w:ascii="Arial" w:hAnsi="Arial" w:cs="Arial"/>
          <w:szCs w:val="20"/>
          <w:lang w:val="cs-CZ"/>
        </w:rPr>
        <w:t xml:space="preserve"> úrov</w:t>
      </w:r>
      <w:r w:rsidR="003A6215">
        <w:rPr>
          <w:rFonts w:ascii="Arial" w:hAnsi="Arial" w:cs="Arial"/>
          <w:szCs w:val="20"/>
          <w:lang w:val="cs-CZ"/>
        </w:rPr>
        <w:t>ni</w:t>
      </w:r>
      <w:r w:rsidR="00CE56BD" w:rsidRPr="006E7BDD">
        <w:rPr>
          <w:rFonts w:ascii="Arial" w:hAnsi="Arial" w:cs="Arial"/>
          <w:szCs w:val="20"/>
          <w:lang w:val="cs-CZ"/>
        </w:rPr>
        <w:t>.</w:t>
      </w:r>
    </w:p>
    <w:p w:rsidR="00A44634" w:rsidRPr="006E7BDD" w:rsidRDefault="000877CE" w:rsidP="00A44634">
      <w:pPr>
        <w:pStyle w:val="Nadpis3"/>
        <w:rPr>
          <w:lang w:val="cs-CZ"/>
        </w:rPr>
      </w:pPr>
      <w:r w:rsidRPr="006E7BDD">
        <w:rPr>
          <w:lang w:val="cs-CZ"/>
        </w:rPr>
        <w:t xml:space="preserve">Výrazný nárůst zakázek a obratu u segmentu </w:t>
      </w:r>
      <w:proofErr w:type="spellStart"/>
      <w:r w:rsidRPr="006E7BDD">
        <w:rPr>
          <w:lang w:val="cs-CZ"/>
        </w:rPr>
        <w:t>S</w:t>
      </w:r>
      <w:r w:rsidR="00A44634" w:rsidRPr="006E7BDD">
        <w:rPr>
          <w:lang w:val="cs-CZ"/>
        </w:rPr>
        <w:t>pecial</w:t>
      </w:r>
      <w:proofErr w:type="spellEnd"/>
    </w:p>
    <w:p w:rsidR="00A44634" w:rsidRPr="006E7BDD" w:rsidRDefault="000877CE" w:rsidP="00F53973">
      <w:pPr>
        <w:spacing w:after="240"/>
        <w:ind w:right="139"/>
        <w:rPr>
          <w:szCs w:val="20"/>
          <w:lang w:val="cs-CZ"/>
        </w:rPr>
      </w:pPr>
      <w:r w:rsidRPr="006E7BDD">
        <w:rPr>
          <w:rFonts w:ascii="Arial" w:hAnsi="Arial" w:cs="Arial"/>
          <w:szCs w:val="20"/>
          <w:lang w:val="cs-CZ"/>
        </w:rPr>
        <w:t xml:space="preserve">Více servisních zakázek a objednávek strojů v ceninovém tisku a potisku </w:t>
      </w:r>
      <w:r w:rsidR="002C2146">
        <w:rPr>
          <w:rFonts w:ascii="Arial" w:hAnsi="Arial" w:cs="Arial"/>
          <w:szCs w:val="20"/>
          <w:lang w:val="cs-CZ"/>
        </w:rPr>
        <w:t>skla</w:t>
      </w:r>
      <w:r w:rsidRPr="006E7BDD">
        <w:rPr>
          <w:rFonts w:ascii="Arial" w:hAnsi="Arial" w:cs="Arial"/>
          <w:szCs w:val="20"/>
          <w:lang w:val="cs-CZ"/>
        </w:rPr>
        <w:t xml:space="preserve"> navýšily obchod</w:t>
      </w:r>
      <w:r w:rsidR="00421280">
        <w:rPr>
          <w:rFonts w:ascii="Arial" w:hAnsi="Arial" w:cs="Arial"/>
          <w:szCs w:val="20"/>
          <w:lang w:val="cs-CZ"/>
        </w:rPr>
        <w:t xml:space="preserve"> s novými stroji</w:t>
      </w:r>
      <w:r w:rsidRPr="006E7BDD">
        <w:rPr>
          <w:rFonts w:ascii="Arial" w:hAnsi="Arial" w:cs="Arial"/>
          <w:szCs w:val="20"/>
          <w:lang w:val="cs-CZ"/>
        </w:rPr>
        <w:t xml:space="preserve"> v segment</w:t>
      </w:r>
      <w:r w:rsidR="00920C28">
        <w:rPr>
          <w:rFonts w:ascii="Arial" w:hAnsi="Arial" w:cs="Arial"/>
          <w:szCs w:val="20"/>
          <w:lang w:val="cs-CZ"/>
        </w:rPr>
        <w:t>u</w:t>
      </w:r>
      <w:r w:rsidRPr="006E7BDD">
        <w:rPr>
          <w:rFonts w:ascii="Arial" w:hAnsi="Arial" w:cs="Arial"/>
          <w:szCs w:val="20"/>
          <w:lang w:val="cs-CZ"/>
        </w:rPr>
        <w:t xml:space="preserve"> </w:t>
      </w:r>
      <w:proofErr w:type="spellStart"/>
      <w:r w:rsidR="00CE56BD" w:rsidRPr="006E7BDD">
        <w:rPr>
          <w:rFonts w:ascii="Arial" w:hAnsi="Arial" w:cs="Arial"/>
          <w:szCs w:val="20"/>
          <w:lang w:val="cs-CZ"/>
        </w:rPr>
        <w:t>Sp</w:t>
      </w:r>
      <w:r w:rsidR="008C6097" w:rsidRPr="006E7BDD">
        <w:rPr>
          <w:rFonts w:ascii="Arial" w:hAnsi="Arial" w:cs="Arial"/>
          <w:szCs w:val="20"/>
          <w:lang w:val="cs-CZ"/>
        </w:rPr>
        <w:t>ecial</w:t>
      </w:r>
      <w:proofErr w:type="spellEnd"/>
      <w:r w:rsidR="008C6097" w:rsidRPr="006E7BDD">
        <w:rPr>
          <w:rFonts w:ascii="Arial" w:hAnsi="Arial" w:cs="Arial"/>
          <w:szCs w:val="20"/>
          <w:lang w:val="cs-CZ"/>
        </w:rPr>
        <w:t xml:space="preserve"> </w:t>
      </w:r>
      <w:r w:rsidRPr="006E7BDD">
        <w:rPr>
          <w:rFonts w:ascii="Arial" w:hAnsi="Arial" w:cs="Arial"/>
          <w:szCs w:val="20"/>
          <w:lang w:val="cs-CZ"/>
        </w:rPr>
        <w:t xml:space="preserve">o </w:t>
      </w:r>
      <w:r w:rsidR="008C6097" w:rsidRPr="006E7BDD">
        <w:rPr>
          <w:rFonts w:ascii="Arial" w:hAnsi="Arial" w:cs="Arial"/>
          <w:szCs w:val="20"/>
          <w:lang w:val="cs-CZ"/>
        </w:rPr>
        <w:t xml:space="preserve">37,7 % </w:t>
      </w:r>
      <w:r w:rsidRPr="006E7BDD">
        <w:rPr>
          <w:rFonts w:ascii="Arial" w:hAnsi="Arial" w:cs="Arial"/>
          <w:szCs w:val="20"/>
          <w:lang w:val="cs-CZ"/>
        </w:rPr>
        <w:t>na</w:t>
      </w:r>
      <w:r w:rsidR="008C6097" w:rsidRPr="006E7BDD">
        <w:rPr>
          <w:rFonts w:ascii="Arial" w:hAnsi="Arial" w:cs="Arial"/>
          <w:szCs w:val="20"/>
          <w:lang w:val="cs-CZ"/>
        </w:rPr>
        <w:t xml:space="preserve"> 80,0 </w:t>
      </w:r>
      <w:r w:rsidRPr="006E7BDD">
        <w:rPr>
          <w:rFonts w:ascii="Arial" w:hAnsi="Arial" w:cs="Arial"/>
          <w:szCs w:val="20"/>
          <w:lang w:val="cs-CZ"/>
        </w:rPr>
        <w:t>mil</w:t>
      </w:r>
      <w:r w:rsidR="008C6097" w:rsidRPr="006E7BDD">
        <w:rPr>
          <w:rFonts w:ascii="Arial" w:hAnsi="Arial" w:cs="Arial"/>
          <w:szCs w:val="20"/>
          <w:lang w:val="cs-CZ"/>
        </w:rPr>
        <w:t>. €</w:t>
      </w:r>
      <w:r w:rsidR="00CE56BD" w:rsidRPr="006E7BDD">
        <w:rPr>
          <w:rFonts w:ascii="Arial" w:hAnsi="Arial" w:cs="Arial"/>
          <w:szCs w:val="20"/>
          <w:lang w:val="cs-CZ"/>
        </w:rPr>
        <w:t xml:space="preserve">. </w:t>
      </w:r>
      <w:r w:rsidRPr="006E7BDD">
        <w:rPr>
          <w:rFonts w:ascii="Arial" w:hAnsi="Arial" w:cs="Arial"/>
          <w:szCs w:val="20"/>
          <w:lang w:val="cs-CZ"/>
        </w:rPr>
        <w:t xml:space="preserve">Obrat se navýšil o </w:t>
      </w:r>
      <w:r w:rsidR="008C6097" w:rsidRPr="006E7BDD">
        <w:rPr>
          <w:rFonts w:ascii="Arial" w:hAnsi="Arial" w:cs="Arial"/>
          <w:szCs w:val="20"/>
          <w:lang w:val="cs-CZ"/>
        </w:rPr>
        <w:t xml:space="preserve">20,8 % </w:t>
      </w:r>
      <w:r w:rsidRPr="006E7BDD">
        <w:rPr>
          <w:rFonts w:ascii="Arial" w:hAnsi="Arial" w:cs="Arial"/>
          <w:szCs w:val="20"/>
          <w:lang w:val="cs-CZ"/>
        </w:rPr>
        <w:t>na</w:t>
      </w:r>
      <w:r w:rsidR="008C6097" w:rsidRPr="006E7BDD">
        <w:rPr>
          <w:rFonts w:ascii="Arial" w:hAnsi="Arial" w:cs="Arial"/>
          <w:szCs w:val="20"/>
          <w:lang w:val="cs-CZ"/>
        </w:rPr>
        <w:t xml:space="preserve"> 92,8 </w:t>
      </w:r>
      <w:r w:rsidRPr="006E7BDD">
        <w:rPr>
          <w:rFonts w:ascii="Arial" w:hAnsi="Arial" w:cs="Arial"/>
          <w:szCs w:val="20"/>
          <w:lang w:val="cs-CZ"/>
        </w:rPr>
        <w:t>mil</w:t>
      </w:r>
      <w:r w:rsidR="008C6097" w:rsidRPr="006E7BDD">
        <w:rPr>
          <w:rFonts w:ascii="Arial" w:hAnsi="Arial" w:cs="Arial"/>
          <w:szCs w:val="20"/>
          <w:lang w:val="cs-CZ"/>
        </w:rPr>
        <w:t>. €</w:t>
      </w:r>
      <w:r w:rsidR="00CE56BD" w:rsidRPr="006E7BDD">
        <w:rPr>
          <w:rFonts w:ascii="Arial" w:hAnsi="Arial" w:cs="Arial"/>
          <w:szCs w:val="20"/>
          <w:lang w:val="cs-CZ"/>
        </w:rPr>
        <w:t xml:space="preserve">. </w:t>
      </w:r>
      <w:r w:rsidR="00920C28">
        <w:rPr>
          <w:rFonts w:ascii="Arial" w:hAnsi="Arial" w:cs="Arial"/>
          <w:szCs w:val="20"/>
          <w:lang w:val="cs-CZ"/>
        </w:rPr>
        <w:t>Díky hodnotě</w:t>
      </w:r>
      <w:r w:rsidR="00CE56BD" w:rsidRPr="006E7BDD">
        <w:rPr>
          <w:rFonts w:ascii="Arial" w:hAnsi="Arial" w:cs="Arial"/>
          <w:szCs w:val="20"/>
          <w:lang w:val="cs-CZ"/>
        </w:rPr>
        <w:t xml:space="preserve"> 331,7 </w:t>
      </w:r>
      <w:r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Pr="006E7BDD">
        <w:rPr>
          <w:rFonts w:ascii="Arial" w:hAnsi="Arial" w:cs="Arial"/>
          <w:szCs w:val="20"/>
          <w:lang w:val="cs-CZ"/>
        </w:rPr>
        <w:t xml:space="preserve">byl stav zakázek na konci března o </w:t>
      </w:r>
      <w:r w:rsidR="00CE56BD" w:rsidRPr="006E7BDD">
        <w:rPr>
          <w:rFonts w:ascii="Arial" w:hAnsi="Arial" w:cs="Arial"/>
          <w:szCs w:val="20"/>
          <w:lang w:val="cs-CZ"/>
        </w:rPr>
        <w:t xml:space="preserve">6,2 % </w:t>
      </w:r>
      <w:r w:rsidRPr="006E7BDD">
        <w:rPr>
          <w:rFonts w:ascii="Arial" w:hAnsi="Arial" w:cs="Arial"/>
          <w:szCs w:val="20"/>
          <w:lang w:val="cs-CZ"/>
        </w:rPr>
        <w:t>vyšší než před dvanácti měsíci. Po zisku segmentu</w:t>
      </w:r>
      <w:r w:rsidR="00B842C5" w:rsidRPr="006E7BDD">
        <w:rPr>
          <w:rFonts w:ascii="Arial" w:hAnsi="Arial" w:cs="Arial"/>
          <w:szCs w:val="20"/>
          <w:lang w:val="cs-CZ"/>
        </w:rPr>
        <w:t xml:space="preserve"> </w:t>
      </w:r>
      <w:r w:rsidR="00CE56BD" w:rsidRPr="006E7BDD">
        <w:rPr>
          <w:rFonts w:ascii="Arial" w:hAnsi="Arial" w:cs="Arial"/>
          <w:szCs w:val="20"/>
          <w:lang w:val="cs-CZ"/>
        </w:rPr>
        <w:t xml:space="preserve">3,8 </w:t>
      </w:r>
      <w:r w:rsidR="00B842C5"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 xml:space="preserve">. € </w:t>
      </w:r>
      <w:r w:rsidR="00B842C5" w:rsidRPr="006E7BDD">
        <w:rPr>
          <w:rFonts w:ascii="Arial" w:hAnsi="Arial" w:cs="Arial"/>
          <w:szCs w:val="20"/>
          <w:lang w:val="cs-CZ"/>
        </w:rPr>
        <w:t xml:space="preserve">v předchozím roce bude pro první čtvrtletí </w:t>
      </w:r>
      <w:r w:rsidR="00CE56BD" w:rsidRPr="006E7BDD">
        <w:rPr>
          <w:rFonts w:ascii="Arial" w:hAnsi="Arial" w:cs="Arial"/>
          <w:szCs w:val="20"/>
          <w:lang w:val="cs-CZ"/>
        </w:rPr>
        <w:t xml:space="preserve">2019 </w:t>
      </w:r>
      <w:r w:rsidR="00B842C5" w:rsidRPr="006E7BDD">
        <w:rPr>
          <w:rFonts w:ascii="Arial" w:hAnsi="Arial" w:cs="Arial"/>
          <w:szCs w:val="20"/>
          <w:lang w:val="cs-CZ"/>
        </w:rPr>
        <w:t>vykázán</w:t>
      </w:r>
      <w:r w:rsidR="00CE56BD" w:rsidRPr="006E7BDD">
        <w:rPr>
          <w:rFonts w:ascii="Arial" w:hAnsi="Arial" w:cs="Arial"/>
          <w:szCs w:val="20"/>
          <w:lang w:val="cs-CZ"/>
        </w:rPr>
        <w:t xml:space="preserve"> EBIT </w:t>
      </w:r>
      <w:r w:rsidR="00421280">
        <w:rPr>
          <w:rFonts w:ascii="Arial" w:hAnsi="Arial" w:cs="Arial"/>
          <w:szCs w:val="20"/>
          <w:lang w:val="cs-CZ"/>
        </w:rPr>
        <w:t xml:space="preserve">ve výši </w:t>
      </w:r>
      <w:r w:rsidR="00CE56BD" w:rsidRPr="006E7BDD">
        <w:rPr>
          <w:rFonts w:ascii="Arial" w:hAnsi="Arial" w:cs="Arial"/>
          <w:szCs w:val="20"/>
          <w:lang w:val="cs-CZ"/>
        </w:rPr>
        <w:t xml:space="preserve">2,0 </w:t>
      </w:r>
      <w:r w:rsidR="00B842C5" w:rsidRPr="006E7BDD">
        <w:rPr>
          <w:rFonts w:ascii="Arial" w:hAnsi="Arial" w:cs="Arial"/>
          <w:szCs w:val="20"/>
          <w:lang w:val="cs-CZ"/>
        </w:rPr>
        <w:t>mil</w:t>
      </w:r>
      <w:r w:rsidR="00CE56BD" w:rsidRPr="006E7BDD">
        <w:rPr>
          <w:rFonts w:ascii="Arial" w:hAnsi="Arial" w:cs="Arial"/>
          <w:szCs w:val="20"/>
          <w:lang w:val="cs-CZ"/>
        </w:rPr>
        <w:t>. €.</w:t>
      </w:r>
    </w:p>
    <w:p w:rsidR="00A44634" w:rsidRPr="006E7BDD" w:rsidRDefault="00324B88" w:rsidP="00A44634">
      <w:pPr>
        <w:pStyle w:val="Nadpis3"/>
        <w:rPr>
          <w:lang w:val="cs-CZ"/>
        </w:rPr>
      </w:pPr>
      <w:r w:rsidRPr="006E7BDD">
        <w:rPr>
          <w:lang w:val="cs-CZ"/>
        </w:rPr>
        <w:lastRenderedPageBreak/>
        <w:t>Solid</w:t>
      </w:r>
      <w:r w:rsidR="00B842C5" w:rsidRPr="006E7BDD">
        <w:rPr>
          <w:lang w:val="cs-CZ"/>
        </w:rPr>
        <w:t>ní</w:t>
      </w:r>
      <w:r w:rsidRPr="006E7BDD">
        <w:rPr>
          <w:lang w:val="cs-CZ"/>
        </w:rPr>
        <w:t xml:space="preserve"> </w:t>
      </w:r>
      <w:r w:rsidR="000F6B6A" w:rsidRPr="006E7BDD">
        <w:rPr>
          <w:lang w:val="cs-CZ"/>
        </w:rPr>
        <w:t>b</w:t>
      </w:r>
      <w:r w:rsidRPr="006E7BDD">
        <w:rPr>
          <w:lang w:val="cs-CZ"/>
        </w:rPr>
        <w:t>ilan</w:t>
      </w:r>
      <w:r w:rsidR="00B842C5" w:rsidRPr="006E7BDD">
        <w:rPr>
          <w:lang w:val="cs-CZ"/>
        </w:rPr>
        <w:t>ční a finanční profil</w:t>
      </w:r>
    </w:p>
    <w:p w:rsidR="00A44634" w:rsidRPr="006E7BDD" w:rsidRDefault="00C86F03" w:rsidP="00A44634">
      <w:pPr>
        <w:spacing w:after="240"/>
        <w:rPr>
          <w:lang w:val="cs-CZ"/>
        </w:rPr>
      </w:pPr>
      <w:r w:rsidRPr="006E7BDD">
        <w:rPr>
          <w:lang w:val="cs-CZ"/>
        </w:rPr>
        <w:t xml:space="preserve">I přes výrazně nižší pohledávky a navýšené zálohy zákazníků </w:t>
      </w:r>
      <w:r w:rsidR="0043291F">
        <w:rPr>
          <w:lang w:val="cs-CZ"/>
        </w:rPr>
        <w:t xml:space="preserve">bylo cashflow </w:t>
      </w:r>
      <w:r w:rsidRPr="006E7BDD">
        <w:rPr>
          <w:lang w:val="cs-CZ"/>
        </w:rPr>
        <w:t>zatíž</w:t>
      </w:r>
      <w:r w:rsidR="0043291F">
        <w:rPr>
          <w:lang w:val="cs-CZ"/>
        </w:rPr>
        <w:t>eno</w:t>
      </w:r>
      <w:r w:rsidRPr="006E7BDD">
        <w:rPr>
          <w:lang w:val="cs-CZ"/>
        </w:rPr>
        <w:t xml:space="preserve"> vyšší</w:t>
      </w:r>
      <w:r w:rsidR="0043291F">
        <w:rPr>
          <w:lang w:val="cs-CZ"/>
        </w:rPr>
        <w:t>mi</w:t>
      </w:r>
      <w:r w:rsidRPr="006E7BDD">
        <w:rPr>
          <w:lang w:val="cs-CZ"/>
        </w:rPr>
        <w:t xml:space="preserve"> zásob</w:t>
      </w:r>
      <w:r w:rsidR="0043291F">
        <w:rPr>
          <w:lang w:val="cs-CZ"/>
        </w:rPr>
        <w:t>ami</w:t>
      </w:r>
      <w:r w:rsidRPr="006E7BDD">
        <w:rPr>
          <w:lang w:val="cs-CZ"/>
        </w:rPr>
        <w:t xml:space="preserve"> pro růst obratu v následných čtvrtletích </w:t>
      </w:r>
      <w:r w:rsidR="0043291F">
        <w:rPr>
          <w:lang w:val="cs-CZ"/>
        </w:rPr>
        <w:t>a</w:t>
      </w:r>
      <w:r w:rsidRPr="006E7BDD">
        <w:rPr>
          <w:lang w:val="cs-CZ"/>
        </w:rPr>
        <w:t xml:space="preserve"> vyso</w:t>
      </w:r>
      <w:r w:rsidR="006E7BDD">
        <w:rPr>
          <w:lang w:val="cs-CZ"/>
        </w:rPr>
        <w:t>k</w:t>
      </w:r>
      <w:r w:rsidR="0043291F">
        <w:rPr>
          <w:lang w:val="cs-CZ"/>
        </w:rPr>
        <w:t>ými</w:t>
      </w:r>
      <w:r w:rsidRPr="006E7BDD">
        <w:rPr>
          <w:lang w:val="cs-CZ"/>
        </w:rPr>
        <w:t xml:space="preserve"> investice</w:t>
      </w:r>
      <w:r w:rsidR="0043291F">
        <w:rPr>
          <w:lang w:val="cs-CZ"/>
        </w:rPr>
        <w:t>mi</w:t>
      </w:r>
      <w:r w:rsidRPr="006E7BDD">
        <w:rPr>
          <w:lang w:val="cs-CZ"/>
        </w:rPr>
        <w:t xml:space="preserve"> do stavebních a IT projektů. N</w:t>
      </w:r>
      <w:r w:rsidR="006E7BDD">
        <w:rPr>
          <w:lang w:val="cs-CZ"/>
        </w:rPr>
        <w:t>a</w:t>
      </w:r>
      <w:r w:rsidRPr="006E7BDD">
        <w:rPr>
          <w:lang w:val="cs-CZ"/>
        </w:rPr>
        <w:t>v</w:t>
      </w:r>
      <w:r w:rsidR="006E7BDD">
        <w:rPr>
          <w:lang w:val="cs-CZ"/>
        </w:rPr>
        <w:t>í</w:t>
      </w:r>
      <w:r w:rsidRPr="006E7BDD">
        <w:rPr>
          <w:lang w:val="cs-CZ"/>
        </w:rPr>
        <w:t xml:space="preserve">c byla provedena dílčí platba ve výši </w:t>
      </w:r>
      <w:r w:rsidR="00F53973" w:rsidRPr="006E7BDD">
        <w:rPr>
          <w:bCs/>
          <w:lang w:val="cs-CZ"/>
        </w:rPr>
        <w:t xml:space="preserve">20 </w:t>
      </w:r>
      <w:r w:rsidRPr="006E7BDD">
        <w:rPr>
          <w:bCs/>
          <w:lang w:val="cs-CZ"/>
        </w:rPr>
        <w:t>mil</w:t>
      </w:r>
      <w:r w:rsidR="00F53973" w:rsidRPr="006E7BDD">
        <w:rPr>
          <w:bCs/>
          <w:lang w:val="cs-CZ"/>
        </w:rPr>
        <w:t xml:space="preserve">. CHF </w:t>
      </w:r>
      <w:r w:rsidRPr="006E7BDD">
        <w:rPr>
          <w:bCs/>
          <w:lang w:val="cs-CZ"/>
        </w:rPr>
        <w:t xml:space="preserve">švýcarskému Spolkovému zastupitelství v rámci </w:t>
      </w:r>
      <w:r w:rsidR="00E05EB4" w:rsidRPr="006E7BDD">
        <w:rPr>
          <w:bCs/>
          <w:lang w:val="cs-CZ"/>
        </w:rPr>
        <w:t xml:space="preserve">stanoveného odnětí zisku po </w:t>
      </w:r>
      <w:r w:rsidR="00BE117C" w:rsidRPr="006E7BDD">
        <w:rPr>
          <w:bCs/>
          <w:lang w:val="cs-CZ"/>
        </w:rPr>
        <w:t xml:space="preserve">ukončení vlastního řízení z důvodu nedostatků v korupční prevenci u švýcarské dceřiné společnosti </w:t>
      </w:r>
      <w:r w:rsidR="00F53973" w:rsidRPr="006E7BDD">
        <w:rPr>
          <w:bCs/>
          <w:lang w:val="cs-CZ"/>
        </w:rPr>
        <w:t>KBA-</w:t>
      </w:r>
      <w:proofErr w:type="spellStart"/>
      <w:r w:rsidR="00F53973" w:rsidRPr="006E7BDD">
        <w:rPr>
          <w:bCs/>
          <w:lang w:val="cs-CZ"/>
        </w:rPr>
        <w:t>NotaSys</w:t>
      </w:r>
      <w:proofErr w:type="spellEnd"/>
      <w:r w:rsidR="00F53973" w:rsidRPr="006E7BDD">
        <w:rPr>
          <w:bCs/>
          <w:lang w:val="cs-CZ"/>
        </w:rPr>
        <w:t xml:space="preserve"> SA. </w:t>
      </w:r>
      <w:r w:rsidR="008905C5">
        <w:rPr>
          <w:bCs/>
          <w:lang w:val="cs-CZ"/>
        </w:rPr>
        <w:t>Díky</w:t>
      </w:r>
      <w:r w:rsidR="009575A9" w:rsidRPr="006E7BDD">
        <w:rPr>
          <w:bCs/>
          <w:lang w:val="cs-CZ"/>
        </w:rPr>
        <w:t xml:space="preserve"> </w:t>
      </w:r>
      <w:r w:rsidR="00BE117C" w:rsidRPr="006E7BDD">
        <w:rPr>
          <w:bCs/>
          <w:lang w:val="cs-CZ"/>
        </w:rPr>
        <w:t>vlastní likvidit</w:t>
      </w:r>
      <w:r w:rsidR="008905C5">
        <w:rPr>
          <w:bCs/>
          <w:lang w:val="cs-CZ"/>
        </w:rPr>
        <w:t>ě</w:t>
      </w:r>
      <w:r w:rsidR="00BE117C" w:rsidRPr="006E7BDD">
        <w:rPr>
          <w:bCs/>
          <w:lang w:val="cs-CZ"/>
        </w:rPr>
        <w:t xml:space="preserve"> </w:t>
      </w:r>
      <w:r w:rsidR="008905C5">
        <w:rPr>
          <w:bCs/>
          <w:lang w:val="cs-CZ"/>
        </w:rPr>
        <w:t xml:space="preserve">a </w:t>
      </w:r>
      <w:r w:rsidR="00BE117C" w:rsidRPr="006E7BDD">
        <w:rPr>
          <w:lang w:val="cs-CZ"/>
        </w:rPr>
        <w:t>konsorciální úvěrov</w:t>
      </w:r>
      <w:r w:rsidR="008905C5">
        <w:rPr>
          <w:lang w:val="cs-CZ"/>
        </w:rPr>
        <w:t>é</w:t>
      </w:r>
      <w:r w:rsidR="00BE117C" w:rsidRPr="006E7BDD">
        <w:rPr>
          <w:lang w:val="cs-CZ"/>
        </w:rPr>
        <w:t xml:space="preserve"> lin</w:t>
      </w:r>
      <w:r w:rsidR="008905C5">
        <w:rPr>
          <w:lang w:val="cs-CZ"/>
        </w:rPr>
        <w:t>ce</w:t>
      </w:r>
      <w:r w:rsidR="00BE117C" w:rsidRPr="006E7BDD">
        <w:rPr>
          <w:lang w:val="cs-CZ"/>
        </w:rPr>
        <w:t xml:space="preserve"> s dlouhodobou splatností </w:t>
      </w:r>
      <w:r w:rsidR="008905C5" w:rsidRPr="006E7BDD">
        <w:rPr>
          <w:bCs/>
          <w:lang w:val="cs-CZ"/>
        </w:rPr>
        <w:t xml:space="preserve">disponuje společnost </w:t>
      </w:r>
      <w:r w:rsidR="008905C5" w:rsidRPr="006E7BDD">
        <w:rPr>
          <w:lang w:val="cs-CZ"/>
        </w:rPr>
        <w:t xml:space="preserve">Koenig &amp; Bauer </w:t>
      </w:r>
      <w:r w:rsidR="009575A9" w:rsidRPr="006E7BDD">
        <w:rPr>
          <w:lang w:val="cs-CZ"/>
        </w:rPr>
        <w:t>dobrým a stabilním finančním základem. Podíl vlastního kapitálu se pohyboval na konci března</w:t>
      </w:r>
      <w:r w:rsidR="00F53973" w:rsidRPr="006E7BDD">
        <w:rPr>
          <w:lang w:val="cs-CZ"/>
        </w:rPr>
        <w:t xml:space="preserve"> 2019 </w:t>
      </w:r>
      <w:r w:rsidR="009575A9" w:rsidRPr="006E7BDD">
        <w:rPr>
          <w:lang w:val="cs-CZ"/>
        </w:rPr>
        <w:t>na výši</w:t>
      </w:r>
      <w:r w:rsidR="00F53973" w:rsidRPr="006E7BDD">
        <w:rPr>
          <w:lang w:val="cs-CZ"/>
        </w:rPr>
        <w:t xml:space="preserve"> </w:t>
      </w:r>
      <w:r w:rsidR="00A44634" w:rsidRPr="006E7BDD">
        <w:rPr>
          <w:lang w:val="cs-CZ"/>
        </w:rPr>
        <w:t>3</w:t>
      </w:r>
      <w:r w:rsidR="00F53973" w:rsidRPr="006E7BDD">
        <w:rPr>
          <w:lang w:val="cs-CZ"/>
        </w:rPr>
        <w:t>7</w:t>
      </w:r>
      <w:r w:rsidR="00A44634" w:rsidRPr="006E7BDD">
        <w:rPr>
          <w:lang w:val="cs-CZ"/>
        </w:rPr>
        <w:t>,</w:t>
      </w:r>
      <w:r w:rsidR="00CC57C9" w:rsidRPr="006E7BDD">
        <w:rPr>
          <w:lang w:val="cs-CZ"/>
        </w:rPr>
        <w:t>5</w:t>
      </w:r>
      <w:r w:rsidR="00A44634" w:rsidRPr="006E7BDD">
        <w:rPr>
          <w:lang w:val="cs-CZ"/>
        </w:rPr>
        <w:t xml:space="preserve"> %</w:t>
      </w:r>
      <w:r w:rsidR="00F53973" w:rsidRPr="006E7BDD">
        <w:rPr>
          <w:lang w:val="cs-CZ"/>
        </w:rPr>
        <w:t>.</w:t>
      </w:r>
    </w:p>
    <w:p w:rsidR="00A44634" w:rsidRPr="006E7BDD" w:rsidRDefault="009575A9" w:rsidP="00A44634">
      <w:pPr>
        <w:pStyle w:val="Nadpis3"/>
        <w:rPr>
          <w:lang w:val="cs-CZ"/>
        </w:rPr>
      </w:pPr>
      <w:r w:rsidRPr="006E7BDD">
        <w:rPr>
          <w:lang w:val="cs-CZ"/>
        </w:rPr>
        <w:t>Cíle k</w:t>
      </w:r>
      <w:r w:rsidR="00A44634" w:rsidRPr="006E7BDD">
        <w:rPr>
          <w:lang w:val="cs-CZ"/>
        </w:rPr>
        <w:t>on</w:t>
      </w:r>
      <w:r w:rsidRPr="006E7BDD">
        <w:rPr>
          <w:lang w:val="cs-CZ"/>
        </w:rPr>
        <w:t>cernu</w:t>
      </w:r>
      <w:r w:rsidR="00A44634" w:rsidRPr="006E7BDD">
        <w:rPr>
          <w:lang w:val="cs-CZ"/>
        </w:rPr>
        <w:t xml:space="preserve"> 2019</w:t>
      </w:r>
    </w:p>
    <w:p w:rsidR="00A44634" w:rsidRPr="006E7BDD" w:rsidRDefault="00A44634" w:rsidP="004B5DBB">
      <w:pPr>
        <w:spacing w:after="240"/>
        <w:ind w:right="-2"/>
        <w:rPr>
          <w:lang w:val="cs-CZ"/>
        </w:rPr>
      </w:pPr>
      <w:r w:rsidRPr="006E7BDD">
        <w:rPr>
          <w:lang w:val="cs-CZ"/>
        </w:rPr>
        <w:t xml:space="preserve">CFO Mathias </w:t>
      </w:r>
      <w:proofErr w:type="spellStart"/>
      <w:r w:rsidRPr="006E7BDD">
        <w:rPr>
          <w:lang w:val="cs-CZ"/>
        </w:rPr>
        <w:t>Dähn</w:t>
      </w:r>
      <w:proofErr w:type="spellEnd"/>
      <w:r w:rsidRPr="006E7BDD">
        <w:rPr>
          <w:lang w:val="cs-CZ"/>
        </w:rPr>
        <w:t>: „</w:t>
      </w:r>
      <w:r w:rsidR="00415752" w:rsidRPr="006E7BDD">
        <w:rPr>
          <w:lang w:val="cs-CZ"/>
        </w:rPr>
        <w:t xml:space="preserve">Se stavem zakázek, který vzrostl k </w:t>
      </w:r>
      <w:r w:rsidR="00CE56BD" w:rsidRPr="006E7BDD">
        <w:rPr>
          <w:lang w:val="cs-CZ"/>
        </w:rPr>
        <w:t xml:space="preserve">31. </w:t>
      </w:r>
      <w:r w:rsidR="00415752" w:rsidRPr="006E7BDD">
        <w:rPr>
          <w:lang w:val="cs-CZ"/>
        </w:rPr>
        <w:t>březnu</w:t>
      </w:r>
      <w:r w:rsidR="00CE56BD" w:rsidRPr="006E7BDD">
        <w:rPr>
          <w:lang w:val="cs-CZ"/>
        </w:rPr>
        <w:t xml:space="preserve"> 2019 </w:t>
      </w:r>
      <w:r w:rsidR="00415752" w:rsidRPr="006E7BDD">
        <w:rPr>
          <w:lang w:val="cs-CZ"/>
        </w:rPr>
        <w:t>na</w:t>
      </w:r>
      <w:r w:rsidR="00CE56BD" w:rsidRPr="006E7BDD">
        <w:rPr>
          <w:lang w:val="cs-CZ"/>
        </w:rPr>
        <w:t xml:space="preserve"> 656,6 </w:t>
      </w:r>
      <w:r w:rsidR="00415752" w:rsidRPr="006E7BDD">
        <w:rPr>
          <w:lang w:val="cs-CZ"/>
        </w:rPr>
        <w:t>mil</w:t>
      </w:r>
      <w:r w:rsidR="00CE56BD" w:rsidRPr="006E7BDD">
        <w:rPr>
          <w:lang w:val="cs-CZ"/>
        </w:rPr>
        <w:t>. €</w:t>
      </w:r>
      <w:r w:rsidR="00437024" w:rsidRPr="006E7BDD">
        <w:rPr>
          <w:lang w:val="cs-CZ"/>
        </w:rPr>
        <w:t>,</w:t>
      </w:r>
      <w:r w:rsidR="00CE56BD" w:rsidRPr="006E7BDD">
        <w:rPr>
          <w:lang w:val="cs-CZ"/>
        </w:rPr>
        <w:t xml:space="preserve"> </w:t>
      </w:r>
      <w:r w:rsidR="00437024" w:rsidRPr="006E7BDD">
        <w:rPr>
          <w:lang w:val="cs-CZ"/>
        </w:rPr>
        <w:t xml:space="preserve">máme dobré výhledy až do podzimu </w:t>
      </w:r>
      <w:r w:rsidR="00CE56BD" w:rsidRPr="006E7BDD">
        <w:rPr>
          <w:lang w:val="cs-CZ"/>
        </w:rPr>
        <w:t xml:space="preserve">2019 </w:t>
      </w:r>
      <w:r w:rsidR="00437024" w:rsidRPr="006E7BDD">
        <w:rPr>
          <w:lang w:val="cs-CZ"/>
        </w:rPr>
        <w:t xml:space="preserve">a v ceninovém tisku díky dobré situaci se zakázkami až do roku </w:t>
      </w:r>
      <w:r w:rsidR="00CE56BD" w:rsidRPr="006E7BDD">
        <w:rPr>
          <w:lang w:val="cs-CZ"/>
        </w:rPr>
        <w:t xml:space="preserve">2020. </w:t>
      </w:r>
      <w:r w:rsidR="00437024" w:rsidRPr="006E7BDD">
        <w:rPr>
          <w:lang w:val="cs-CZ"/>
        </w:rPr>
        <w:t xml:space="preserve">Kromě toho byl veletrh </w:t>
      </w:r>
      <w:r w:rsidR="00CE56BD" w:rsidRPr="006E7BDD">
        <w:rPr>
          <w:lang w:val="cs-CZ"/>
        </w:rPr>
        <w:t xml:space="preserve">Print </w:t>
      </w:r>
      <w:proofErr w:type="spellStart"/>
      <w:r w:rsidR="00CE56BD" w:rsidRPr="006E7BDD">
        <w:rPr>
          <w:lang w:val="cs-CZ"/>
        </w:rPr>
        <w:t>China</w:t>
      </w:r>
      <w:proofErr w:type="spellEnd"/>
      <w:r w:rsidR="00CE56BD" w:rsidRPr="006E7BDD">
        <w:rPr>
          <w:lang w:val="cs-CZ"/>
        </w:rPr>
        <w:t xml:space="preserve"> </w:t>
      </w:r>
      <w:r w:rsidR="00437024" w:rsidRPr="006E7BDD">
        <w:rPr>
          <w:lang w:val="cs-CZ"/>
        </w:rPr>
        <w:t xml:space="preserve">v polovině dubna v </w:t>
      </w:r>
      <w:proofErr w:type="spellStart"/>
      <w:r w:rsidR="00CE56BD" w:rsidRPr="006E7BDD">
        <w:rPr>
          <w:rFonts w:cstheme="minorHAnsi"/>
          <w:lang w:val="cs-CZ"/>
        </w:rPr>
        <w:t>Guangdong</w:t>
      </w:r>
      <w:r w:rsidR="00437024" w:rsidRPr="006E7BDD">
        <w:rPr>
          <w:rFonts w:cstheme="minorHAnsi"/>
          <w:lang w:val="cs-CZ"/>
        </w:rPr>
        <w:t>u</w:t>
      </w:r>
      <w:proofErr w:type="spellEnd"/>
      <w:r w:rsidR="00CE56BD" w:rsidRPr="006E7BDD">
        <w:rPr>
          <w:rFonts w:cstheme="minorHAnsi"/>
          <w:lang w:val="cs-CZ"/>
        </w:rPr>
        <w:t xml:space="preserve"> </w:t>
      </w:r>
      <w:r w:rsidR="00437024" w:rsidRPr="006E7BDD">
        <w:rPr>
          <w:rFonts w:cstheme="minorHAnsi"/>
          <w:lang w:val="cs-CZ"/>
        </w:rPr>
        <w:t xml:space="preserve">s uzavřenými </w:t>
      </w:r>
      <w:r w:rsidR="008905C5">
        <w:rPr>
          <w:rFonts w:cstheme="minorHAnsi"/>
          <w:lang w:val="cs-CZ"/>
        </w:rPr>
        <w:t>obchody</w:t>
      </w:r>
      <w:r w:rsidR="00437024" w:rsidRPr="006E7BDD">
        <w:rPr>
          <w:rFonts w:cstheme="minorHAnsi"/>
          <w:lang w:val="cs-CZ"/>
        </w:rPr>
        <w:t xml:space="preserve"> pohybujícími se nad rámec našich očekávání v</w:t>
      </w:r>
      <w:r w:rsidR="008905C5">
        <w:rPr>
          <w:rFonts w:cstheme="minorHAnsi"/>
          <w:lang w:val="cs-CZ"/>
        </w:rPr>
        <w:t xml:space="preserve"> </w:t>
      </w:r>
      <w:r w:rsidR="00437024" w:rsidRPr="006E7BDD">
        <w:rPr>
          <w:rFonts w:cstheme="minorHAnsi"/>
          <w:lang w:val="cs-CZ"/>
        </w:rPr>
        <w:t>dvoumístné</w:t>
      </w:r>
      <w:r w:rsidR="008905C5">
        <w:rPr>
          <w:rFonts w:cstheme="minorHAnsi"/>
          <w:lang w:val="cs-CZ"/>
        </w:rPr>
        <w:t>m</w:t>
      </w:r>
      <w:r w:rsidR="00581B46" w:rsidRPr="006E7BDD">
        <w:rPr>
          <w:rFonts w:cstheme="minorHAnsi"/>
          <w:lang w:val="cs-CZ"/>
        </w:rPr>
        <w:t xml:space="preserve"> milionové</w:t>
      </w:r>
      <w:r w:rsidR="008905C5">
        <w:rPr>
          <w:rFonts w:cstheme="minorHAnsi"/>
          <w:lang w:val="cs-CZ"/>
        </w:rPr>
        <w:t xml:space="preserve">m čísle </w:t>
      </w:r>
      <w:r w:rsidR="00581B46" w:rsidRPr="006E7BDD">
        <w:rPr>
          <w:rFonts w:cstheme="minorHAnsi"/>
          <w:lang w:val="cs-CZ"/>
        </w:rPr>
        <w:t xml:space="preserve">velmi úspěšný. </w:t>
      </w:r>
      <w:r w:rsidR="008905C5">
        <w:rPr>
          <w:rFonts w:cstheme="minorHAnsi"/>
          <w:lang w:val="cs-CZ"/>
        </w:rPr>
        <w:t>Díky</w:t>
      </w:r>
      <w:r w:rsidR="00581B46" w:rsidRPr="006E7BDD">
        <w:rPr>
          <w:rFonts w:cstheme="minorHAnsi"/>
          <w:lang w:val="cs-CZ"/>
        </w:rPr>
        <w:t xml:space="preserve"> dobré situac</w:t>
      </w:r>
      <w:r w:rsidR="008905C5">
        <w:rPr>
          <w:rFonts w:cstheme="minorHAnsi"/>
          <w:lang w:val="cs-CZ"/>
        </w:rPr>
        <w:t>i</w:t>
      </w:r>
      <w:r w:rsidR="00581B46" w:rsidRPr="006E7BDD">
        <w:rPr>
          <w:rFonts w:cstheme="minorHAnsi"/>
          <w:lang w:val="cs-CZ"/>
        </w:rPr>
        <w:t xml:space="preserve"> se zakázkami a projekty</w:t>
      </w:r>
      <w:r w:rsidR="008905C5">
        <w:rPr>
          <w:rFonts w:cstheme="minorHAnsi"/>
          <w:lang w:val="cs-CZ"/>
        </w:rPr>
        <w:t xml:space="preserve">, které </w:t>
      </w:r>
      <w:r w:rsidR="00581B46" w:rsidRPr="006E7BDD">
        <w:rPr>
          <w:rFonts w:cstheme="minorHAnsi"/>
          <w:lang w:val="cs-CZ"/>
        </w:rPr>
        <w:t>v rámci koncernu</w:t>
      </w:r>
      <w:r w:rsidR="008905C5">
        <w:rPr>
          <w:rFonts w:cstheme="minorHAnsi"/>
          <w:lang w:val="cs-CZ"/>
        </w:rPr>
        <w:t xml:space="preserve"> plně vytěžují k</w:t>
      </w:r>
      <w:r w:rsidR="008905C5" w:rsidRPr="006E7BDD">
        <w:rPr>
          <w:rFonts w:cstheme="minorHAnsi"/>
          <w:lang w:val="cs-CZ"/>
        </w:rPr>
        <w:t>apacit</w:t>
      </w:r>
      <w:r w:rsidR="008905C5">
        <w:rPr>
          <w:rFonts w:cstheme="minorHAnsi"/>
          <w:lang w:val="cs-CZ"/>
        </w:rPr>
        <w:t>u,</w:t>
      </w:r>
      <w:r w:rsidR="00581B46" w:rsidRPr="006E7BDD">
        <w:rPr>
          <w:rFonts w:cstheme="minorHAnsi"/>
          <w:lang w:val="cs-CZ"/>
        </w:rPr>
        <w:t xml:space="preserve"> a další</w:t>
      </w:r>
      <w:r w:rsidR="008905C5">
        <w:rPr>
          <w:rFonts w:cstheme="minorHAnsi"/>
          <w:lang w:val="cs-CZ"/>
        </w:rPr>
        <w:t>m</w:t>
      </w:r>
      <w:r w:rsidR="00581B46" w:rsidRPr="006E7BDD">
        <w:rPr>
          <w:rFonts w:cstheme="minorHAnsi"/>
          <w:lang w:val="cs-CZ"/>
        </w:rPr>
        <w:t xml:space="preserve"> pokroků</w:t>
      </w:r>
      <w:r w:rsidR="008905C5">
        <w:rPr>
          <w:rFonts w:cstheme="minorHAnsi"/>
          <w:lang w:val="cs-CZ"/>
        </w:rPr>
        <w:t>m</w:t>
      </w:r>
      <w:r w:rsidR="00581B46" w:rsidRPr="006E7BDD">
        <w:rPr>
          <w:rFonts w:cstheme="minorHAnsi"/>
          <w:lang w:val="cs-CZ"/>
        </w:rPr>
        <w:t xml:space="preserve"> </w:t>
      </w:r>
      <w:r w:rsidR="008905C5">
        <w:rPr>
          <w:rFonts w:cstheme="minorHAnsi"/>
          <w:lang w:val="cs-CZ"/>
        </w:rPr>
        <w:t>s</w:t>
      </w:r>
      <w:r w:rsidR="00581B46" w:rsidRPr="006E7BDD">
        <w:rPr>
          <w:rFonts w:cstheme="minorHAnsi"/>
          <w:lang w:val="cs-CZ"/>
        </w:rPr>
        <w:t xml:space="preserve"> naši</w:t>
      </w:r>
      <w:r w:rsidR="008905C5">
        <w:rPr>
          <w:rFonts w:cstheme="minorHAnsi"/>
          <w:lang w:val="cs-CZ"/>
        </w:rPr>
        <w:t>mi</w:t>
      </w:r>
      <w:r w:rsidR="00581B46" w:rsidRPr="006E7BDD">
        <w:rPr>
          <w:rFonts w:cstheme="minorHAnsi"/>
          <w:lang w:val="cs-CZ"/>
        </w:rPr>
        <w:t xml:space="preserve"> koncernový</w:t>
      </w:r>
      <w:r w:rsidR="008905C5">
        <w:rPr>
          <w:rFonts w:cstheme="minorHAnsi"/>
          <w:lang w:val="cs-CZ"/>
        </w:rPr>
        <w:t>mi</w:t>
      </w:r>
      <w:r w:rsidR="00581B46" w:rsidRPr="006E7BDD">
        <w:rPr>
          <w:rFonts w:cstheme="minorHAnsi"/>
          <w:lang w:val="cs-CZ"/>
        </w:rPr>
        <w:t xml:space="preserve"> projekt</w:t>
      </w:r>
      <w:r w:rsidR="008905C5">
        <w:rPr>
          <w:rFonts w:cstheme="minorHAnsi"/>
          <w:lang w:val="cs-CZ"/>
        </w:rPr>
        <w:t>y</w:t>
      </w:r>
      <w:r w:rsidR="00581B46" w:rsidRPr="006E7BDD">
        <w:rPr>
          <w:rFonts w:cstheme="minorHAnsi"/>
          <w:lang w:val="cs-CZ"/>
        </w:rPr>
        <w:t xml:space="preserve"> pro realizaci růstu výsledku </w:t>
      </w:r>
      <w:r w:rsidR="00581B46" w:rsidRPr="006E7BDD">
        <w:rPr>
          <w:lang w:val="cs-CZ"/>
        </w:rPr>
        <w:t xml:space="preserve">oproti roku 2016 </w:t>
      </w:r>
      <w:r w:rsidR="00656641" w:rsidRPr="006E7BDD">
        <w:rPr>
          <w:rFonts w:cstheme="minorHAnsi"/>
          <w:lang w:val="cs-CZ"/>
        </w:rPr>
        <w:t xml:space="preserve">ve výši </w:t>
      </w:r>
      <w:r w:rsidR="00656641" w:rsidRPr="006E7BDD">
        <w:rPr>
          <w:lang w:val="cs-CZ"/>
        </w:rPr>
        <w:t>70 mil. €</w:t>
      </w:r>
      <w:r w:rsidR="00656641">
        <w:rPr>
          <w:lang w:val="cs-CZ"/>
        </w:rPr>
        <w:t xml:space="preserve"> </w:t>
      </w:r>
      <w:r w:rsidR="00656641" w:rsidRPr="006E7BDD">
        <w:rPr>
          <w:lang w:val="cs-CZ"/>
        </w:rPr>
        <w:t>jsme si jisti</w:t>
      </w:r>
      <w:r w:rsidR="00581B46" w:rsidRPr="006E7BDD">
        <w:rPr>
          <w:lang w:val="cs-CZ"/>
        </w:rPr>
        <w:t xml:space="preserve">, že v roce 2019 dosáhneme organického růstu obratu v koncernu okolo 4 % a EBIT marže 6 %. Mimořádnou prioritu má naše ofenzíva růstu </w:t>
      </w:r>
      <w:r w:rsidR="00CE56BD" w:rsidRPr="006E7BDD">
        <w:rPr>
          <w:bCs/>
          <w:lang w:val="cs-CZ"/>
        </w:rPr>
        <w:t xml:space="preserve">2023, </w:t>
      </w:r>
      <w:r w:rsidR="00581B46" w:rsidRPr="006E7BDD">
        <w:rPr>
          <w:bCs/>
          <w:lang w:val="cs-CZ"/>
        </w:rPr>
        <w:t xml:space="preserve">jejíž náklady odhadujeme kumulovaně na období </w:t>
      </w:r>
      <w:r w:rsidR="00CE56BD" w:rsidRPr="006E7BDD">
        <w:rPr>
          <w:color w:val="000000"/>
          <w:lang w:val="cs-CZ"/>
        </w:rPr>
        <w:t xml:space="preserve">2019 </w:t>
      </w:r>
      <w:r w:rsidR="00581B46" w:rsidRPr="006E7BDD">
        <w:rPr>
          <w:color w:val="000000"/>
          <w:lang w:val="cs-CZ"/>
        </w:rPr>
        <w:t>až</w:t>
      </w:r>
      <w:r w:rsidR="00CE56BD" w:rsidRPr="006E7BDD">
        <w:rPr>
          <w:color w:val="000000"/>
          <w:lang w:val="cs-CZ"/>
        </w:rPr>
        <w:t xml:space="preserve"> 2021 </w:t>
      </w:r>
      <w:r w:rsidR="00581B46" w:rsidRPr="006E7BDD">
        <w:rPr>
          <w:color w:val="000000"/>
          <w:lang w:val="cs-CZ"/>
        </w:rPr>
        <w:t xml:space="preserve">okolo </w:t>
      </w:r>
      <w:r w:rsidR="00CE56BD" w:rsidRPr="006E7BDD">
        <w:rPr>
          <w:lang w:val="cs-CZ"/>
        </w:rPr>
        <w:t xml:space="preserve">50 </w:t>
      </w:r>
      <w:r w:rsidR="00581B46" w:rsidRPr="006E7BDD">
        <w:rPr>
          <w:lang w:val="cs-CZ"/>
        </w:rPr>
        <w:t>mil</w:t>
      </w:r>
      <w:r w:rsidR="00CE56BD" w:rsidRPr="006E7BDD">
        <w:rPr>
          <w:lang w:val="cs-CZ"/>
        </w:rPr>
        <w:t xml:space="preserve">. € </w:t>
      </w:r>
      <w:r w:rsidR="00581B46" w:rsidRPr="006E7BDD">
        <w:rPr>
          <w:lang w:val="cs-CZ"/>
        </w:rPr>
        <w:t xml:space="preserve">při silnějším zatížení zahajovacího roku. </w:t>
      </w:r>
      <w:r w:rsidR="00EA5681" w:rsidRPr="006E7BDD">
        <w:rPr>
          <w:lang w:val="cs-CZ"/>
        </w:rPr>
        <w:t xml:space="preserve">Z toho vyplývající zatížení marže je </w:t>
      </w:r>
      <w:r w:rsidR="00656641">
        <w:rPr>
          <w:lang w:val="cs-CZ"/>
        </w:rPr>
        <w:t>již zahrnuto</w:t>
      </w:r>
      <w:r w:rsidR="00EA5681" w:rsidRPr="006E7BDD">
        <w:rPr>
          <w:lang w:val="cs-CZ"/>
        </w:rPr>
        <w:t xml:space="preserve"> v našem cíli výnosu 2019.</w:t>
      </w:r>
      <w:r w:rsidRPr="006E7BDD">
        <w:rPr>
          <w:lang w:val="cs-CZ"/>
        </w:rPr>
        <w:t>“</w:t>
      </w:r>
    </w:p>
    <w:p w:rsidR="00A44634" w:rsidRPr="006E7BDD" w:rsidRDefault="00EA5681" w:rsidP="00A44634">
      <w:pPr>
        <w:pStyle w:val="Nadpis3"/>
        <w:rPr>
          <w:lang w:val="cs-CZ"/>
        </w:rPr>
      </w:pPr>
      <w:r w:rsidRPr="006E7BDD">
        <w:rPr>
          <w:lang w:val="cs-CZ"/>
        </w:rPr>
        <w:t xml:space="preserve">Střednědobé cíle do roku </w:t>
      </w:r>
      <w:r w:rsidR="00A44634" w:rsidRPr="006E7BDD">
        <w:rPr>
          <w:lang w:val="cs-CZ"/>
        </w:rPr>
        <w:t>2023</w:t>
      </w:r>
    </w:p>
    <w:p w:rsidR="00EA5681" w:rsidRPr="006E7BDD" w:rsidRDefault="00A44634" w:rsidP="00EA5681">
      <w:pPr>
        <w:spacing w:after="240"/>
        <w:rPr>
          <w:lang w:val="cs-CZ"/>
        </w:rPr>
      </w:pPr>
      <w:r w:rsidRPr="006E7BDD">
        <w:rPr>
          <w:lang w:val="cs-CZ"/>
        </w:rPr>
        <w:t xml:space="preserve">CEO </w:t>
      </w:r>
      <w:proofErr w:type="spellStart"/>
      <w:r w:rsidRPr="006E7BDD">
        <w:rPr>
          <w:lang w:val="cs-CZ"/>
        </w:rPr>
        <w:t>Claus</w:t>
      </w:r>
      <w:proofErr w:type="spellEnd"/>
      <w:r w:rsidRPr="006E7BDD">
        <w:rPr>
          <w:lang w:val="cs-CZ"/>
        </w:rPr>
        <w:t xml:space="preserve"> </w:t>
      </w:r>
      <w:proofErr w:type="spellStart"/>
      <w:r w:rsidRPr="006E7BDD">
        <w:rPr>
          <w:lang w:val="cs-CZ"/>
        </w:rPr>
        <w:t>Bolza-Schünemann</w:t>
      </w:r>
      <w:proofErr w:type="spellEnd"/>
      <w:r w:rsidRPr="006E7BDD">
        <w:rPr>
          <w:lang w:val="cs-CZ"/>
        </w:rPr>
        <w:t>: „</w:t>
      </w:r>
      <w:r w:rsidR="00EA5681" w:rsidRPr="006E7BDD">
        <w:rPr>
          <w:lang w:val="cs-CZ"/>
        </w:rPr>
        <w:t xml:space="preserve">S naší ofenzívou růstu </w:t>
      </w:r>
      <w:r w:rsidR="00CE56BD" w:rsidRPr="006E7BDD">
        <w:rPr>
          <w:lang w:val="cs-CZ"/>
        </w:rPr>
        <w:t xml:space="preserve">2023 </w:t>
      </w:r>
      <w:r w:rsidR="00EA5681" w:rsidRPr="006E7BDD">
        <w:rPr>
          <w:lang w:val="cs-CZ"/>
        </w:rPr>
        <w:t xml:space="preserve">chceme využít </w:t>
      </w:r>
      <w:r w:rsidR="00CE56BD" w:rsidRPr="006E7BDD">
        <w:rPr>
          <w:lang w:val="cs-CZ"/>
        </w:rPr>
        <w:t>aktu</w:t>
      </w:r>
      <w:r w:rsidR="00EA5681" w:rsidRPr="006E7BDD">
        <w:rPr>
          <w:lang w:val="cs-CZ"/>
        </w:rPr>
        <w:t>álně se nabízející šance na trhu v potisku kartonáže, vlnité lepenky, flexibilního potisku obalů, 2dílných plechovek, průmyslovém značení, potisku skla a tisku dekorů i v oblasti následného zušlechťování pro trvalý růst zisku</w:t>
      </w:r>
      <w:r w:rsidR="00CE56BD" w:rsidRPr="006E7BDD">
        <w:rPr>
          <w:lang w:val="cs-CZ"/>
        </w:rPr>
        <w:t xml:space="preserve">. </w:t>
      </w:r>
      <w:r w:rsidR="00EA5681" w:rsidRPr="006E7BDD">
        <w:rPr>
          <w:lang w:val="cs-CZ"/>
        </w:rPr>
        <w:t xml:space="preserve">Vliv volatilního obchodu s cennými papíry se vyšším podílem obalů na obratu koncernu sníží. U </w:t>
      </w:r>
      <w:r w:rsidR="002C2146">
        <w:rPr>
          <w:lang w:val="cs-CZ"/>
        </w:rPr>
        <w:t xml:space="preserve">ofsetových </w:t>
      </w:r>
      <w:r w:rsidR="00EA5681" w:rsidRPr="006E7BDD">
        <w:rPr>
          <w:lang w:val="cs-CZ"/>
        </w:rPr>
        <w:t xml:space="preserve">kotoučových strojů pro novinový a akcidenční tisk vycházíme z dalšího poklesu především v oblasti servisu. Se všemi našimi iniciativami a projekty usilujeme do roku 2023 o nárůst obratu koncernu okolo 1,5 mld. € s EBIT marží mezi 7 % a 10 %. K nárůstu obratu a výsledku mají přispět všechny tři segmenty. Vedle podílu dividend od 15 % do 35 % výsledku koncernu </w:t>
      </w:r>
      <w:r w:rsidR="009A6BD5">
        <w:rPr>
          <w:lang w:val="cs-CZ"/>
        </w:rPr>
        <w:t xml:space="preserve">jsou </w:t>
      </w:r>
      <w:r w:rsidR="009A6BD5" w:rsidRPr="006E7BDD">
        <w:rPr>
          <w:lang w:val="cs-CZ"/>
        </w:rPr>
        <w:t>dalšími cílovými veličinami</w:t>
      </w:r>
      <w:r w:rsidR="009A6BD5" w:rsidRPr="006E7BDD">
        <w:rPr>
          <w:lang w:val="cs-CZ"/>
        </w:rPr>
        <w:t xml:space="preserve"> </w:t>
      </w:r>
      <w:r w:rsidR="00EA5681" w:rsidRPr="006E7BDD">
        <w:rPr>
          <w:lang w:val="cs-CZ"/>
        </w:rPr>
        <w:t xml:space="preserve">podíl vlastního kapitálu </w:t>
      </w:r>
      <w:r w:rsidR="00D04612">
        <w:rPr>
          <w:lang w:val="cs-CZ"/>
        </w:rPr>
        <w:t xml:space="preserve">ve výši </w:t>
      </w:r>
      <w:r w:rsidR="00EA5681" w:rsidRPr="006E7BDD">
        <w:rPr>
          <w:lang w:val="cs-CZ"/>
        </w:rPr>
        <w:t>více než 45 %, cílové rozpětí pracovního kapitálu mezi 20 % a 25 % obratu a podíl servisu na obratu 30 %.“</w:t>
      </w:r>
    </w:p>
    <w:p w:rsidR="00C1069D" w:rsidRPr="006E7BDD" w:rsidRDefault="00C1069D" w:rsidP="00A44634">
      <w:pPr>
        <w:spacing w:after="240"/>
        <w:rPr>
          <w:lang w:val="cs-CZ"/>
        </w:rPr>
      </w:pPr>
    </w:p>
    <w:p w:rsidR="00BC4F56" w:rsidRPr="006E7BDD" w:rsidRDefault="00A44634" w:rsidP="00BC4F56">
      <w:pPr>
        <w:pStyle w:val="Nadpis4"/>
        <w:rPr>
          <w:lang w:val="cs-CZ"/>
        </w:rPr>
      </w:pPr>
      <w:r w:rsidRPr="006E7BDD">
        <w:rPr>
          <w:lang w:val="cs-CZ"/>
        </w:rPr>
        <w:t>Foto 1:</w:t>
      </w:r>
    </w:p>
    <w:p w:rsidR="006B2D44" w:rsidRPr="006E7BDD" w:rsidRDefault="00EA5681" w:rsidP="00BC4F56">
      <w:pPr>
        <w:spacing w:after="240"/>
        <w:rPr>
          <w:lang w:val="cs-CZ"/>
        </w:rPr>
      </w:pPr>
      <w:r w:rsidRPr="006E7BDD">
        <w:rPr>
          <w:rFonts w:cstheme="minorHAnsi"/>
          <w:lang w:val="cs-CZ"/>
        </w:rPr>
        <w:t xml:space="preserve">Obsáhlá nabídka klasického a nového servisu založeném na práci s daty přispěla společně s konceptem digitalizace </w:t>
      </w:r>
      <w:r w:rsidR="00BD7EEE" w:rsidRPr="006E7BDD">
        <w:rPr>
          <w:rFonts w:cstheme="minorHAnsi"/>
          <w:lang w:val="cs-CZ"/>
        </w:rPr>
        <w:t xml:space="preserve">Koenig &amp; Bauer 4.0 </w:t>
      </w:r>
      <w:r w:rsidRPr="006E7BDD">
        <w:rPr>
          <w:rFonts w:cstheme="minorHAnsi"/>
          <w:lang w:val="cs-CZ"/>
        </w:rPr>
        <w:t>ke dvoumístnému nárůstu objemu přijatých zakázek</w:t>
      </w:r>
      <w:r w:rsidR="00DC1E0A" w:rsidRPr="006E7BDD">
        <w:rPr>
          <w:rFonts w:cstheme="minorHAnsi"/>
          <w:lang w:val="cs-CZ"/>
        </w:rPr>
        <w:t>.</w:t>
      </w:r>
    </w:p>
    <w:p w:rsidR="00A44634" w:rsidRPr="006E7BDD" w:rsidRDefault="00A44634" w:rsidP="00A44634">
      <w:pPr>
        <w:pStyle w:val="Nadpis4"/>
        <w:rPr>
          <w:lang w:val="cs-CZ"/>
        </w:rPr>
      </w:pPr>
      <w:r w:rsidRPr="006E7BDD">
        <w:rPr>
          <w:lang w:val="cs-CZ"/>
        </w:rPr>
        <w:t>Foto 2:</w:t>
      </w:r>
    </w:p>
    <w:p w:rsidR="00A44634" w:rsidRPr="006E7BDD" w:rsidRDefault="00DC1E0A" w:rsidP="00A44634">
      <w:pPr>
        <w:spacing w:after="240"/>
        <w:rPr>
          <w:lang w:val="cs-CZ"/>
        </w:rPr>
      </w:pPr>
      <w:r w:rsidRPr="006E7BDD">
        <w:rPr>
          <w:lang w:val="cs-CZ"/>
        </w:rPr>
        <w:t xml:space="preserve">O doplňkový přísun zakázek se postaral úspěšný veletrh </w:t>
      </w:r>
      <w:r w:rsidR="00D80630" w:rsidRPr="006E7BDD">
        <w:rPr>
          <w:lang w:val="cs-CZ"/>
        </w:rPr>
        <w:t xml:space="preserve">Print </w:t>
      </w:r>
      <w:proofErr w:type="spellStart"/>
      <w:r w:rsidR="00D80630" w:rsidRPr="006E7BDD">
        <w:rPr>
          <w:lang w:val="cs-CZ"/>
        </w:rPr>
        <w:t>China</w:t>
      </w:r>
      <w:proofErr w:type="spellEnd"/>
      <w:r w:rsidR="00D80630" w:rsidRPr="006E7BDD">
        <w:rPr>
          <w:lang w:val="cs-CZ"/>
        </w:rPr>
        <w:t xml:space="preserve"> </w:t>
      </w:r>
      <w:r w:rsidRPr="006E7BDD">
        <w:rPr>
          <w:lang w:val="cs-CZ"/>
        </w:rPr>
        <w:t>v polovině dubna</w:t>
      </w:r>
    </w:p>
    <w:p w:rsidR="008C6097" w:rsidRPr="006E7BDD" w:rsidRDefault="008C6097" w:rsidP="00A44634">
      <w:pPr>
        <w:spacing w:after="240"/>
        <w:rPr>
          <w:lang w:val="cs-CZ"/>
        </w:rPr>
      </w:pPr>
    </w:p>
    <w:p w:rsidR="00584EAD" w:rsidRPr="006E7BDD" w:rsidRDefault="00DC1E0A" w:rsidP="00584EAD">
      <w:pPr>
        <w:spacing w:after="240"/>
        <w:rPr>
          <w:lang w:val="cs-CZ"/>
        </w:rPr>
      </w:pPr>
      <w:r w:rsidRPr="006E7BDD">
        <w:rPr>
          <w:b/>
          <w:lang w:val="cs-CZ"/>
        </w:rPr>
        <w:t>Kontaktní osoba pro tisk</w:t>
      </w:r>
      <w:r w:rsidR="00584EAD" w:rsidRPr="006E7BDD">
        <w:rPr>
          <w:lang w:val="cs-CZ"/>
        </w:rPr>
        <w:br/>
      </w:r>
      <w:r w:rsidR="00A44634" w:rsidRPr="006E7BDD">
        <w:rPr>
          <w:lang w:val="cs-CZ"/>
        </w:rPr>
        <w:t>Koenig &amp; Bauer AG</w:t>
      </w:r>
      <w:r w:rsidR="00584EAD" w:rsidRPr="006E7BDD">
        <w:rPr>
          <w:lang w:val="cs-CZ"/>
        </w:rPr>
        <w:br/>
      </w:r>
      <w:r w:rsidR="00A44634" w:rsidRPr="006E7BDD">
        <w:rPr>
          <w:lang w:val="cs-CZ"/>
        </w:rPr>
        <w:t xml:space="preserve">Dr. Bernd </w:t>
      </w:r>
      <w:proofErr w:type="spellStart"/>
      <w:r w:rsidR="00A44634" w:rsidRPr="006E7BDD">
        <w:rPr>
          <w:lang w:val="cs-CZ"/>
        </w:rPr>
        <w:t>Heusinger</w:t>
      </w:r>
      <w:proofErr w:type="spellEnd"/>
      <w:r w:rsidR="00A44634" w:rsidRPr="006E7BDD">
        <w:rPr>
          <w:lang w:val="cs-CZ"/>
        </w:rPr>
        <w:br/>
        <w:t>T +49 931 909-4835</w:t>
      </w:r>
      <w:r w:rsidR="00584EAD" w:rsidRPr="006E7BDD">
        <w:rPr>
          <w:lang w:val="cs-CZ"/>
        </w:rPr>
        <w:br/>
        <w:t xml:space="preserve">M </w:t>
      </w:r>
      <w:hyperlink r:id="rId8" w:history="1">
        <w:r w:rsidR="00A44634" w:rsidRPr="006E7BDD">
          <w:rPr>
            <w:rStyle w:val="Hypertextovodkaz"/>
            <w:lang w:val="cs-CZ"/>
          </w:rPr>
          <w:t>bernd.heusinger@koenig-bauer.com</w:t>
        </w:r>
      </w:hyperlink>
    </w:p>
    <w:p w:rsidR="006B2D44" w:rsidRPr="006E7BDD" w:rsidRDefault="006B2D44" w:rsidP="00584EAD">
      <w:pPr>
        <w:spacing w:after="240"/>
        <w:rPr>
          <w:lang w:val="cs-CZ"/>
        </w:rPr>
      </w:pPr>
    </w:p>
    <w:p w:rsidR="00A44634" w:rsidRPr="006E7BDD" w:rsidRDefault="00DC1E0A" w:rsidP="00A44634">
      <w:pPr>
        <w:pStyle w:val="Nadpis4"/>
        <w:rPr>
          <w:lang w:val="cs-CZ"/>
        </w:rPr>
      </w:pPr>
      <w:r w:rsidRPr="006E7BDD">
        <w:rPr>
          <w:lang w:val="cs-CZ"/>
        </w:rPr>
        <w:t xml:space="preserve">O skupině </w:t>
      </w:r>
      <w:r w:rsidR="00A44634" w:rsidRPr="006E7BDD">
        <w:rPr>
          <w:lang w:val="cs-CZ"/>
        </w:rPr>
        <w:t>Koenig &amp; Bauer</w:t>
      </w:r>
    </w:p>
    <w:p w:rsidR="00DC1E0A" w:rsidRPr="006E7BDD" w:rsidRDefault="00DC1E0A" w:rsidP="00DC1E0A">
      <w:pPr>
        <w:pStyle w:val="Nadpis4"/>
        <w:rPr>
          <w:b w:val="0"/>
          <w:lang w:val="cs-CZ"/>
        </w:rPr>
      </w:pPr>
      <w:r w:rsidRPr="006E7BDD">
        <w:rPr>
          <w:b w:val="0"/>
          <w:lang w:val="cs-CZ"/>
        </w:rPr>
        <w:t>Skupina Koenig &amp; Bauer zaměstnává přibližně 5 700 zaměstnanců a dosahuje ročního obratu ve výši 1,2 mld. €, díky čemuž je silným partnerem s orientací na zákazníky mezinárodního polygrafického průmyslu. V oblasti bezpečnostního tisku a na důležitých trzích potisku obalů držíme v celosvětovém měřítku vedoucí postavení na trhu i v technologiích.  Historie naší firmy je již 200 let formována inovacemi a technickým pokrokem, a patříme tak k technologickým průkopníkům ve svém oboru. Naše špičkové stroje optimálně přizpůsobené požadavkům zákazníků umožňují vysoce efektivní procesy tisku, zušlechťování a následné úpravy. Nabízíme širokou paletu servisních služeb od jednotlivých nabídek zákazníkům až po propojený tiskový provoz. Naše vyrovnaná bilance a stabilní finanční situace nám umožňují pokračovat v naší ziskové a trvalé strategii růstu.</w:t>
      </w:r>
    </w:p>
    <w:p w:rsidR="00DC1E0A" w:rsidRPr="006E7BDD" w:rsidRDefault="00DC1E0A" w:rsidP="00D05BF0">
      <w:pPr>
        <w:spacing w:after="240"/>
        <w:ind w:right="139"/>
        <w:rPr>
          <w:lang w:val="cs-CZ"/>
        </w:rPr>
      </w:pPr>
    </w:p>
    <w:p w:rsidR="004C3414" w:rsidRPr="006E7BDD" w:rsidRDefault="004C3414" w:rsidP="004C3414">
      <w:pPr>
        <w:pStyle w:val="FlietextStandard"/>
        <w:spacing w:after="240"/>
        <w:rPr>
          <w:rStyle w:val="Zdraznnjemn"/>
          <w:i w:val="0"/>
          <w:lang w:val="cs-CZ"/>
        </w:rPr>
      </w:pPr>
      <w:r w:rsidRPr="006E7BDD">
        <w:rPr>
          <w:rStyle w:val="Zdraznnjemn"/>
          <w:i w:val="0"/>
          <w:lang w:val="cs-CZ"/>
        </w:rPr>
        <w:t xml:space="preserve">Další informace najdete na adrese </w:t>
      </w:r>
      <w:hyperlink r:id="rId9" w:history="1">
        <w:r w:rsidRPr="006E7BDD">
          <w:rPr>
            <w:rStyle w:val="Zdraznnjemn"/>
            <w:i w:val="0"/>
            <w:lang w:val="cs-CZ"/>
          </w:rPr>
          <w:t>www.koenig-bauer.com</w:t>
        </w:r>
      </w:hyperlink>
    </w:p>
    <w:p w:rsidR="004C3414" w:rsidRPr="006E7BDD" w:rsidRDefault="004C3414" w:rsidP="004C3414">
      <w:pPr>
        <w:pStyle w:val="FlietextStandard"/>
        <w:spacing w:after="240"/>
        <w:rPr>
          <w:rFonts w:eastAsiaTheme="minorEastAsia"/>
          <w:b/>
          <w:lang w:val="cs-CZ"/>
        </w:rPr>
      </w:pPr>
      <w:r w:rsidRPr="006E7BDD">
        <w:rPr>
          <w:rFonts w:eastAsiaTheme="minorEastAsia"/>
          <w:b/>
          <w:lang w:val="cs-CZ"/>
        </w:rPr>
        <w:t>Důležité upozornění:</w:t>
      </w:r>
    </w:p>
    <w:p w:rsidR="00A44634" w:rsidRPr="006E7BDD" w:rsidRDefault="004C3414" w:rsidP="006E7BDD">
      <w:pPr>
        <w:spacing w:after="240"/>
        <w:rPr>
          <w:lang w:val="cs-CZ"/>
        </w:rPr>
      </w:pPr>
      <w:r w:rsidRPr="006E7BDD">
        <w:rPr>
          <w:lang w:val="cs-CZ"/>
        </w:rPr>
        <w:t>Tato tisková zpráva obsahuje výpovědi zaměřené na budoucnost, které jsou založeny na fundovaných předpokladech a odhadech vedení koncernu Koenig &amp; Bauer AG.</w:t>
      </w:r>
      <w:r w:rsidRPr="006E7BDD">
        <w:rPr>
          <w:rFonts w:eastAsiaTheme="minorEastAsia"/>
          <w:lang w:val="cs-CZ"/>
        </w:rPr>
        <w:t xml:space="preserve"> </w:t>
      </w:r>
      <w:r w:rsidRPr="006E7BDD">
        <w:rPr>
          <w:lang w:val="cs-CZ"/>
        </w:rPr>
        <w:t>Přestože je vedení koncernu toho názoru, že jsou tyto předpoklady a odhady správné, mohou se skutečné budoucí výsledky a vývoj lišit na základě různých faktorů, které firma nemůže ovlivnit.</w:t>
      </w:r>
      <w:r w:rsidRPr="006E7BDD">
        <w:rPr>
          <w:rFonts w:eastAsiaTheme="minorEastAsia"/>
          <w:lang w:val="cs-CZ"/>
        </w:rPr>
        <w:t xml:space="preserve"> </w:t>
      </w:r>
      <w:r w:rsidRPr="006E7BDD">
        <w:rPr>
          <w:lang w:val="cs-CZ"/>
        </w:rPr>
        <w:t>K těmto faktorům mohou patřit například změna hospodářské situace nebo směnných kurzů či změny v rámci polygrafického odvětví.</w:t>
      </w:r>
      <w:r w:rsidRPr="006E7BDD">
        <w:rPr>
          <w:rFonts w:eastAsiaTheme="minorEastAsia"/>
          <w:lang w:val="cs-CZ"/>
        </w:rPr>
        <w:t xml:space="preserve"> </w:t>
      </w:r>
      <w:r w:rsidRPr="006E7BDD">
        <w:rPr>
          <w:lang w:val="cs-CZ"/>
        </w:rPr>
        <w:t>Výhled neobsahuje žádné významné efekty a vlivy na portfolio vztahující se k právním a úředním záležitostem.</w:t>
      </w:r>
      <w:r w:rsidRPr="006E7BDD">
        <w:rPr>
          <w:rFonts w:eastAsiaTheme="minorEastAsia"/>
          <w:lang w:val="cs-CZ"/>
        </w:rPr>
        <w:t xml:space="preserve"> Kromě toho je závislý na průběžném </w:t>
      </w:r>
      <w:r w:rsidRPr="006E7BDD">
        <w:rPr>
          <w:lang w:val="cs-CZ"/>
        </w:rPr>
        <w:t>růstu výnosu</w:t>
      </w:r>
      <w:r w:rsidRPr="006E7BDD">
        <w:rPr>
          <w:rFonts w:eastAsiaTheme="minorEastAsia"/>
          <w:lang w:val="cs-CZ"/>
        </w:rPr>
        <w:t xml:space="preserve"> a nezohledňuje </w:t>
      </w:r>
      <w:r w:rsidRPr="006E7BDD">
        <w:rPr>
          <w:lang w:val="cs-CZ"/>
        </w:rPr>
        <w:t>rušivé, krátkodobé změny na trhu.</w:t>
      </w:r>
      <w:r w:rsidRPr="006E7BDD">
        <w:rPr>
          <w:rFonts w:eastAsiaTheme="minorEastAsia"/>
          <w:lang w:val="cs-CZ"/>
        </w:rPr>
        <w:t xml:space="preserve"> </w:t>
      </w:r>
      <w:r w:rsidRPr="006E7BDD">
        <w:rPr>
          <w:lang w:val="cs-CZ"/>
        </w:rPr>
        <w:t>Firma Koenig &amp; Bauer AG nepřebírá záruku za to, že budoucí vývoj a skutečně dosažené výsledky budou identické s čísly a výpověďmi obsaženými v této tiskové zprávě</w:t>
      </w:r>
      <w:r w:rsidR="006E7BDD">
        <w:rPr>
          <w:lang w:val="cs-CZ"/>
        </w:rPr>
        <w:t xml:space="preserve">. </w:t>
      </w:r>
      <w:r w:rsidR="00A44634" w:rsidRPr="006E7BDD">
        <w:rPr>
          <w:lang w:val="cs-CZ"/>
        </w:rPr>
        <w:br w:type="page"/>
      </w: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RPr="006E7BDD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D05BF0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 xml:space="preserve">Skupina </w:t>
            </w:r>
            <w:r w:rsidR="00A44634" w:rsidRPr="006E7BDD">
              <w:rPr>
                <w:lang w:val="cs-CZ"/>
              </w:rPr>
              <w:t>Koenig &amp; Bauer</w:t>
            </w:r>
          </w:p>
        </w:tc>
        <w:tc>
          <w:tcPr>
            <w:tcW w:w="1871" w:type="dxa"/>
          </w:tcPr>
          <w:p w:rsidR="00A44634" w:rsidRPr="006E7BDD" w:rsidRDefault="00A44634" w:rsidP="003603A1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lang w:val="cs-CZ"/>
              </w:rPr>
              <w:t>31.</w:t>
            </w:r>
            <w:r w:rsidR="00FB2412" w:rsidRPr="006E7BDD">
              <w:rPr>
                <w:lang w:val="cs-CZ"/>
              </w:rPr>
              <w:t>03</w:t>
            </w:r>
            <w:r w:rsidRPr="006E7BDD">
              <w:rPr>
                <w:lang w:val="cs-CZ"/>
              </w:rPr>
              <w:t>.201</w:t>
            </w:r>
            <w:r w:rsidR="00FB2412" w:rsidRPr="006E7BDD">
              <w:rPr>
                <w:lang w:val="cs-CZ"/>
              </w:rPr>
              <w:t>8</w:t>
            </w:r>
            <w:r w:rsidRPr="006E7BDD">
              <w:rPr>
                <w:lang w:val="cs-CZ"/>
              </w:rPr>
              <w:br/>
            </w:r>
            <w:r w:rsidR="004C3414" w:rsidRPr="006E7BDD">
              <w:rPr>
                <w:lang w:val="cs-CZ"/>
              </w:rPr>
              <w:t>v</w:t>
            </w:r>
            <w:r w:rsidRPr="006E7BDD">
              <w:rPr>
                <w:lang w:val="cs-CZ"/>
              </w:rPr>
              <w:t xml:space="preserve"> </w:t>
            </w:r>
            <w:r w:rsidR="004C3414" w:rsidRPr="006E7BDD">
              <w:rPr>
                <w:lang w:val="cs-CZ"/>
              </w:rPr>
              <w:t>mil</w:t>
            </w:r>
            <w:r w:rsidRPr="006E7BDD">
              <w:rPr>
                <w:lang w:val="cs-CZ"/>
              </w:rPr>
              <w:t xml:space="preserve">. </w:t>
            </w:r>
            <w:r w:rsidR="003603A1" w:rsidRPr="006E7BDD">
              <w:rPr>
                <w:lang w:val="cs-CZ"/>
              </w:rPr>
              <w:t>€</w:t>
            </w:r>
          </w:p>
        </w:tc>
        <w:tc>
          <w:tcPr>
            <w:tcW w:w="1871" w:type="dxa"/>
          </w:tcPr>
          <w:p w:rsidR="00A44634" w:rsidRPr="006E7BDD" w:rsidRDefault="00A44634" w:rsidP="003603A1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lang w:val="cs-CZ"/>
              </w:rPr>
              <w:t>31.</w:t>
            </w:r>
            <w:r w:rsidR="00FB2412" w:rsidRPr="006E7BDD">
              <w:rPr>
                <w:lang w:val="cs-CZ"/>
              </w:rPr>
              <w:t>03</w:t>
            </w:r>
            <w:r w:rsidRPr="006E7BDD">
              <w:rPr>
                <w:lang w:val="cs-CZ"/>
              </w:rPr>
              <w:t>.201</w:t>
            </w:r>
            <w:r w:rsidR="00FB2412" w:rsidRPr="006E7BDD">
              <w:rPr>
                <w:lang w:val="cs-CZ"/>
              </w:rPr>
              <w:t>9</w:t>
            </w:r>
            <w:r w:rsidRPr="006E7BDD">
              <w:rPr>
                <w:lang w:val="cs-CZ"/>
              </w:rPr>
              <w:br/>
            </w:r>
            <w:r w:rsidR="004C3414" w:rsidRPr="006E7BDD">
              <w:rPr>
                <w:lang w:val="cs-CZ"/>
              </w:rPr>
              <w:t>v</w:t>
            </w:r>
            <w:r w:rsidRPr="006E7BDD">
              <w:rPr>
                <w:lang w:val="cs-CZ"/>
              </w:rPr>
              <w:t xml:space="preserve"> </w:t>
            </w:r>
            <w:r w:rsidR="004C3414" w:rsidRPr="006E7BDD">
              <w:rPr>
                <w:lang w:val="cs-CZ"/>
              </w:rPr>
              <w:t xml:space="preserve">mil. </w:t>
            </w:r>
            <w:r w:rsidR="003603A1" w:rsidRPr="006E7BDD">
              <w:rPr>
                <w:lang w:val="cs-CZ"/>
              </w:rPr>
              <w:t>€</w:t>
            </w:r>
          </w:p>
        </w:tc>
        <w:tc>
          <w:tcPr>
            <w:tcW w:w="1871" w:type="dxa"/>
          </w:tcPr>
          <w:p w:rsidR="00A44634" w:rsidRPr="006E7BDD" w:rsidRDefault="004C3414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lang w:val="cs-CZ"/>
              </w:rPr>
              <w:t xml:space="preserve">                   Změna</w:t>
            </w: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Obrat</w:t>
            </w:r>
            <w:r w:rsidR="00A44634" w:rsidRPr="006E7BDD">
              <w:rPr>
                <w:lang w:val="cs-CZ"/>
              </w:rPr>
              <w:br/>
            </w:r>
            <w:proofErr w:type="spellStart"/>
            <w:r w:rsidR="00A44634" w:rsidRPr="006E7BDD">
              <w:rPr>
                <w:rStyle w:val="Siln"/>
                <w:lang w:val="cs-CZ"/>
              </w:rPr>
              <w:t>Sheetfed</w:t>
            </w:r>
            <w:proofErr w:type="spellEnd"/>
            <w:r w:rsidR="00A44634" w:rsidRPr="006E7BDD">
              <w:rPr>
                <w:rStyle w:val="Siln"/>
                <w:lang w:val="cs-CZ"/>
              </w:rPr>
              <w:br/>
              <w:t>Digital &amp; Web</w:t>
            </w:r>
            <w:r w:rsidR="00A44634" w:rsidRPr="006E7BDD">
              <w:rPr>
                <w:lang w:val="cs-CZ"/>
              </w:rPr>
              <w:br/>
            </w:r>
            <w:proofErr w:type="spellStart"/>
            <w:r w:rsidR="00A44634" w:rsidRPr="006E7BDD">
              <w:rPr>
                <w:b w:val="0"/>
                <w:lang w:val="cs-CZ"/>
              </w:rPr>
              <w:t>Special</w:t>
            </w:r>
            <w:proofErr w:type="spellEnd"/>
            <w:r w:rsidR="00A44634" w:rsidRPr="006E7BDD">
              <w:rPr>
                <w:b w:val="0"/>
                <w:lang w:val="cs-CZ"/>
              </w:rPr>
              <w:br/>
            </w:r>
            <w:r w:rsidRPr="006E7BDD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lang w:val="cs-CZ"/>
              </w:rPr>
            </w:pPr>
            <w:r w:rsidRPr="006E7BDD">
              <w:rPr>
                <w:rStyle w:val="Siln"/>
                <w:lang w:val="cs-CZ"/>
              </w:rPr>
              <w:t>217,3</w:t>
            </w:r>
            <w:r w:rsidR="006B2D44" w:rsidRPr="006E7BDD">
              <w:rPr>
                <w:rStyle w:val="Siln"/>
                <w:lang w:val="cs-CZ"/>
              </w:rPr>
              <w:br/>
            </w:r>
            <w:r w:rsidRPr="006E7BDD">
              <w:rPr>
                <w:rStyle w:val="Siln"/>
                <w:b w:val="0"/>
                <w:lang w:val="cs-CZ"/>
              </w:rPr>
              <w:t>111,0</w:t>
            </w:r>
            <w:r w:rsidR="006B2D44" w:rsidRPr="006E7BDD">
              <w:rPr>
                <w:rStyle w:val="Siln"/>
                <w:b w:val="0"/>
                <w:lang w:val="cs-CZ"/>
              </w:rPr>
              <w:br/>
            </w:r>
            <w:r w:rsidRPr="006E7BDD">
              <w:rPr>
                <w:rStyle w:val="Siln"/>
                <w:b w:val="0"/>
                <w:lang w:val="cs-CZ"/>
              </w:rPr>
              <w:t>32,5</w:t>
            </w:r>
            <w:r w:rsidR="006B2D44" w:rsidRPr="006E7BDD">
              <w:rPr>
                <w:rStyle w:val="Siln"/>
                <w:b w:val="0"/>
                <w:lang w:val="cs-CZ"/>
              </w:rPr>
              <w:br/>
            </w:r>
            <w:r w:rsidRPr="006E7BDD">
              <w:rPr>
                <w:rStyle w:val="Siln"/>
                <w:b w:val="0"/>
                <w:lang w:val="cs-CZ"/>
              </w:rPr>
              <w:t>76,8</w:t>
            </w:r>
            <w:r w:rsidR="006B2D44" w:rsidRPr="006E7BDD">
              <w:rPr>
                <w:rStyle w:val="Siln"/>
                <w:b w:val="0"/>
                <w:lang w:val="cs-CZ"/>
              </w:rPr>
              <w:br/>
              <w:t>-</w:t>
            </w:r>
            <w:r w:rsidRPr="006E7BDD">
              <w:rPr>
                <w:rStyle w:val="Siln"/>
                <w:b w:val="0"/>
                <w:lang w:val="cs-CZ"/>
              </w:rPr>
              <w:t>3,0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b/>
                <w:lang w:val="cs-CZ"/>
              </w:rPr>
              <w:t>230,7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113,0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32,4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92,8</w:t>
            </w:r>
            <w:r w:rsidR="006B2D44" w:rsidRPr="006E7BDD">
              <w:rPr>
                <w:lang w:val="cs-CZ"/>
              </w:rPr>
              <w:br/>
              <w:t>-</w:t>
            </w:r>
            <w:r w:rsidRPr="006E7BDD">
              <w:rPr>
                <w:lang w:val="cs-CZ"/>
              </w:rPr>
              <w:t>7,5</w:t>
            </w:r>
          </w:p>
        </w:tc>
        <w:tc>
          <w:tcPr>
            <w:tcW w:w="1871" w:type="dxa"/>
          </w:tcPr>
          <w:p w:rsidR="00A44634" w:rsidRPr="006E7BDD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b/>
                <w:lang w:val="cs-CZ"/>
              </w:rPr>
              <w:t xml:space="preserve">+ </w:t>
            </w:r>
            <w:r w:rsidR="00F16843" w:rsidRPr="006E7BDD">
              <w:rPr>
                <w:b/>
                <w:lang w:val="cs-CZ"/>
              </w:rPr>
              <w:t>6</w:t>
            </w:r>
            <w:r w:rsidRPr="006E7BDD">
              <w:rPr>
                <w:b/>
                <w:lang w:val="cs-CZ"/>
              </w:rPr>
              <w:t>,</w:t>
            </w:r>
            <w:r w:rsidR="00F16843" w:rsidRPr="006E7BDD">
              <w:rPr>
                <w:b/>
                <w:lang w:val="cs-CZ"/>
              </w:rPr>
              <w:t>2</w:t>
            </w:r>
            <w:r w:rsidRPr="006E7BDD">
              <w:rPr>
                <w:b/>
                <w:lang w:val="cs-CZ"/>
              </w:rPr>
              <w:t xml:space="preserve"> %</w:t>
            </w:r>
            <w:r w:rsidRPr="006E7BDD">
              <w:rPr>
                <w:lang w:val="cs-CZ"/>
              </w:rPr>
              <w:br/>
            </w:r>
            <w:r w:rsidR="00F16843" w:rsidRPr="006E7BDD">
              <w:rPr>
                <w:lang w:val="cs-CZ"/>
              </w:rPr>
              <w:t>+</w:t>
            </w:r>
            <w:r w:rsidRPr="006E7BDD">
              <w:rPr>
                <w:lang w:val="cs-CZ"/>
              </w:rPr>
              <w:t xml:space="preserve"> 1,</w:t>
            </w:r>
            <w:r w:rsidR="00F16843" w:rsidRPr="006E7BDD">
              <w:rPr>
                <w:lang w:val="cs-CZ"/>
              </w:rPr>
              <w:t>8</w:t>
            </w:r>
            <w:r w:rsidRPr="006E7BDD">
              <w:rPr>
                <w:lang w:val="cs-CZ"/>
              </w:rPr>
              <w:t xml:space="preserve"> %</w:t>
            </w:r>
            <w:r w:rsidRPr="006E7BDD">
              <w:rPr>
                <w:lang w:val="cs-CZ"/>
              </w:rPr>
              <w:br/>
              <w:t xml:space="preserve">- </w:t>
            </w:r>
            <w:r w:rsidR="00F16843" w:rsidRPr="006E7BDD">
              <w:rPr>
                <w:lang w:val="cs-CZ"/>
              </w:rPr>
              <w:t>0</w:t>
            </w:r>
            <w:r w:rsidRPr="006E7BDD">
              <w:rPr>
                <w:lang w:val="cs-CZ"/>
              </w:rPr>
              <w:t>,3 %</w:t>
            </w:r>
            <w:r w:rsidRPr="006E7BDD">
              <w:rPr>
                <w:lang w:val="cs-CZ"/>
              </w:rPr>
              <w:br/>
              <w:t xml:space="preserve">+ </w:t>
            </w:r>
            <w:r w:rsidR="00F16843" w:rsidRPr="006E7BDD">
              <w:rPr>
                <w:lang w:val="cs-CZ"/>
              </w:rPr>
              <w:t>20</w:t>
            </w:r>
            <w:r w:rsidRPr="006E7BDD">
              <w:rPr>
                <w:lang w:val="cs-CZ"/>
              </w:rPr>
              <w:t>,8 %</w:t>
            </w: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Objem přijatých zakázek</w:t>
            </w:r>
            <w:r w:rsidR="00A44634" w:rsidRPr="006E7BDD">
              <w:rPr>
                <w:lang w:val="cs-CZ"/>
              </w:rPr>
              <w:br/>
            </w:r>
            <w:proofErr w:type="spellStart"/>
            <w:r w:rsidR="00A44634" w:rsidRPr="006E7BDD">
              <w:rPr>
                <w:rStyle w:val="Siln"/>
                <w:lang w:val="cs-CZ"/>
              </w:rPr>
              <w:t>Sheetfed</w:t>
            </w:r>
            <w:proofErr w:type="spellEnd"/>
            <w:r w:rsidR="00A44634" w:rsidRPr="006E7BDD">
              <w:rPr>
                <w:rStyle w:val="Siln"/>
                <w:lang w:val="cs-CZ"/>
              </w:rPr>
              <w:br/>
              <w:t>Digital &amp; Web</w:t>
            </w:r>
            <w:r w:rsidR="00A44634" w:rsidRPr="006E7BDD">
              <w:rPr>
                <w:lang w:val="cs-CZ"/>
              </w:rPr>
              <w:br/>
            </w:r>
            <w:proofErr w:type="spellStart"/>
            <w:r w:rsidR="00A44634" w:rsidRPr="006E7BDD">
              <w:rPr>
                <w:b w:val="0"/>
                <w:lang w:val="cs-CZ"/>
              </w:rPr>
              <w:t>Special</w:t>
            </w:r>
            <w:proofErr w:type="spellEnd"/>
            <w:r w:rsidR="00A44634" w:rsidRPr="006E7BDD">
              <w:rPr>
                <w:b w:val="0"/>
                <w:lang w:val="cs-CZ"/>
              </w:rPr>
              <w:br/>
            </w:r>
            <w:r w:rsidRPr="006E7BDD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b/>
                <w:lang w:val="cs-CZ"/>
              </w:rPr>
              <w:t>250,9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154,3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45,2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58,1</w:t>
            </w:r>
            <w:r w:rsidR="006B2D44" w:rsidRPr="006E7BDD">
              <w:rPr>
                <w:lang w:val="cs-CZ"/>
              </w:rPr>
              <w:br/>
              <w:t>-</w:t>
            </w:r>
            <w:r w:rsidRPr="006E7BDD">
              <w:rPr>
                <w:lang w:val="cs-CZ"/>
              </w:rPr>
              <w:t>6,7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>276,4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173,5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31,9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80,0</w:t>
            </w:r>
            <w:r w:rsidR="00A15613" w:rsidRPr="006E7BDD">
              <w:rPr>
                <w:lang w:val="cs-CZ"/>
              </w:rPr>
              <w:br/>
              <w:t>-</w:t>
            </w:r>
            <w:r w:rsidRPr="006E7BDD">
              <w:rPr>
                <w:lang w:val="cs-CZ"/>
              </w:rPr>
              <w:t>9</w:t>
            </w:r>
            <w:r w:rsidR="00A15613" w:rsidRPr="006E7BDD">
              <w:rPr>
                <w:lang w:val="cs-CZ"/>
              </w:rPr>
              <w:t>,0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>+</w:t>
            </w:r>
            <w:r w:rsidR="00A15613" w:rsidRPr="006E7BDD">
              <w:rPr>
                <w:rStyle w:val="Siln"/>
                <w:lang w:val="cs-CZ"/>
              </w:rPr>
              <w:t xml:space="preserve"> </w:t>
            </w:r>
            <w:r w:rsidRPr="006E7BDD">
              <w:rPr>
                <w:rStyle w:val="Siln"/>
                <w:lang w:val="cs-CZ"/>
              </w:rPr>
              <w:t>10</w:t>
            </w:r>
            <w:r w:rsidR="00A15613" w:rsidRPr="006E7BDD">
              <w:rPr>
                <w:rStyle w:val="Siln"/>
                <w:lang w:val="cs-CZ"/>
              </w:rPr>
              <w:t>,</w:t>
            </w:r>
            <w:r w:rsidRPr="006E7BDD">
              <w:rPr>
                <w:rStyle w:val="Siln"/>
                <w:lang w:val="cs-CZ"/>
              </w:rPr>
              <w:t>2</w:t>
            </w:r>
            <w:r w:rsidR="00A15613" w:rsidRPr="006E7BDD">
              <w:rPr>
                <w:rStyle w:val="Siln"/>
                <w:lang w:val="cs-CZ"/>
              </w:rPr>
              <w:t xml:space="preserve"> %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+</w:t>
            </w:r>
            <w:r w:rsidR="00A15613" w:rsidRPr="006E7BDD">
              <w:rPr>
                <w:lang w:val="cs-CZ"/>
              </w:rPr>
              <w:t xml:space="preserve"> </w:t>
            </w:r>
            <w:r w:rsidRPr="006E7BDD">
              <w:rPr>
                <w:lang w:val="cs-CZ"/>
              </w:rPr>
              <w:t>12</w:t>
            </w:r>
            <w:r w:rsidR="00A15613" w:rsidRPr="006E7BDD">
              <w:rPr>
                <w:lang w:val="cs-CZ"/>
              </w:rPr>
              <w:t>,</w:t>
            </w:r>
            <w:r w:rsidRPr="006E7BDD">
              <w:rPr>
                <w:lang w:val="cs-CZ"/>
              </w:rPr>
              <w:t>4</w:t>
            </w:r>
            <w:r w:rsidR="00A15613" w:rsidRPr="006E7BDD">
              <w:rPr>
                <w:lang w:val="cs-CZ"/>
              </w:rPr>
              <w:t xml:space="preserve"> %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-</w:t>
            </w:r>
            <w:r w:rsidR="00A15613" w:rsidRPr="006E7BDD">
              <w:rPr>
                <w:lang w:val="cs-CZ"/>
              </w:rPr>
              <w:t xml:space="preserve"> 2</w:t>
            </w:r>
            <w:r w:rsidRPr="006E7BDD">
              <w:rPr>
                <w:lang w:val="cs-CZ"/>
              </w:rPr>
              <w:t>9</w:t>
            </w:r>
            <w:r w:rsidR="00A15613" w:rsidRPr="006E7BDD">
              <w:rPr>
                <w:lang w:val="cs-CZ"/>
              </w:rPr>
              <w:t>,</w:t>
            </w:r>
            <w:r w:rsidRPr="006E7BDD">
              <w:rPr>
                <w:lang w:val="cs-CZ"/>
              </w:rPr>
              <w:t>4</w:t>
            </w:r>
            <w:r w:rsidR="00A15613" w:rsidRPr="006E7BDD">
              <w:rPr>
                <w:lang w:val="cs-CZ"/>
              </w:rPr>
              <w:t xml:space="preserve"> %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+</w:t>
            </w:r>
            <w:r w:rsidR="00A15613" w:rsidRPr="006E7BDD">
              <w:rPr>
                <w:lang w:val="cs-CZ"/>
              </w:rPr>
              <w:t xml:space="preserve"> </w:t>
            </w:r>
            <w:r w:rsidRPr="006E7BDD">
              <w:rPr>
                <w:lang w:val="cs-CZ"/>
              </w:rPr>
              <w:t>37</w:t>
            </w:r>
            <w:r w:rsidR="00A15613" w:rsidRPr="006E7BDD">
              <w:rPr>
                <w:lang w:val="cs-CZ"/>
              </w:rPr>
              <w:t>,</w:t>
            </w:r>
            <w:r w:rsidRPr="006E7BDD">
              <w:rPr>
                <w:lang w:val="cs-CZ"/>
              </w:rPr>
              <w:t>7</w:t>
            </w:r>
            <w:r w:rsidR="00A15613" w:rsidRPr="006E7BDD">
              <w:rPr>
                <w:lang w:val="cs-CZ"/>
              </w:rPr>
              <w:t xml:space="preserve"> %</w:t>
            </w: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Stav zakázek</w:t>
            </w:r>
            <w:r w:rsidR="00A44634" w:rsidRPr="006E7BDD">
              <w:rPr>
                <w:lang w:val="cs-CZ"/>
              </w:rPr>
              <w:br/>
            </w:r>
            <w:proofErr w:type="spellStart"/>
            <w:r w:rsidR="00A44634" w:rsidRPr="006E7BDD">
              <w:rPr>
                <w:rStyle w:val="Siln"/>
                <w:lang w:val="cs-CZ"/>
              </w:rPr>
              <w:t>Sheetfed</w:t>
            </w:r>
            <w:proofErr w:type="spellEnd"/>
            <w:r w:rsidR="00A44634" w:rsidRPr="006E7BDD">
              <w:rPr>
                <w:rStyle w:val="Siln"/>
                <w:lang w:val="cs-CZ"/>
              </w:rPr>
              <w:br/>
              <w:t>Digital &amp; Web</w:t>
            </w:r>
            <w:r w:rsidR="00A44634" w:rsidRPr="006E7BDD">
              <w:rPr>
                <w:lang w:val="cs-CZ"/>
              </w:rPr>
              <w:br/>
            </w:r>
            <w:proofErr w:type="spellStart"/>
            <w:r w:rsidR="00A44634" w:rsidRPr="006E7BDD">
              <w:rPr>
                <w:b w:val="0"/>
                <w:lang w:val="cs-CZ"/>
              </w:rPr>
              <w:t>Special</w:t>
            </w:r>
            <w:proofErr w:type="spellEnd"/>
            <w:r w:rsidR="00A44634" w:rsidRPr="006E7BDD">
              <w:rPr>
                <w:b w:val="0"/>
                <w:lang w:val="cs-CZ"/>
              </w:rPr>
              <w:br/>
            </w:r>
            <w:r w:rsidRPr="006E7BDD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>648,5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274,9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75,2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312,2</w:t>
            </w:r>
            <w:r w:rsidR="006B2D44" w:rsidRPr="006E7BDD">
              <w:rPr>
                <w:lang w:val="cs-CZ"/>
              </w:rPr>
              <w:br/>
              <w:t>-1</w:t>
            </w:r>
            <w:r w:rsidRPr="006E7BDD">
              <w:rPr>
                <w:lang w:val="cs-CZ"/>
              </w:rPr>
              <w:t>3</w:t>
            </w:r>
            <w:r w:rsidR="006B2D44" w:rsidRPr="006E7BDD">
              <w:rPr>
                <w:lang w:val="cs-CZ"/>
              </w:rPr>
              <w:t>,8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>656,6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250,5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85</w:t>
            </w:r>
            <w:r w:rsidR="00A15613" w:rsidRPr="006E7BDD">
              <w:rPr>
                <w:lang w:val="cs-CZ"/>
              </w:rPr>
              <w:t>,4</w:t>
            </w:r>
            <w:r w:rsidR="00A15613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331,7</w:t>
            </w:r>
            <w:r w:rsidR="00A15613" w:rsidRPr="006E7BDD">
              <w:rPr>
                <w:lang w:val="cs-CZ"/>
              </w:rPr>
              <w:br/>
              <w:t>-11,</w:t>
            </w:r>
            <w:r w:rsidRPr="006E7BDD">
              <w:rPr>
                <w:lang w:val="cs-CZ"/>
              </w:rPr>
              <w:t>0</w:t>
            </w:r>
          </w:p>
        </w:tc>
        <w:tc>
          <w:tcPr>
            <w:tcW w:w="1871" w:type="dxa"/>
          </w:tcPr>
          <w:p w:rsidR="00A44634" w:rsidRPr="006E7BDD" w:rsidRDefault="00A1561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 xml:space="preserve">+ </w:t>
            </w:r>
            <w:r w:rsidR="00F16843" w:rsidRPr="006E7BDD">
              <w:rPr>
                <w:rStyle w:val="Siln"/>
                <w:lang w:val="cs-CZ"/>
              </w:rPr>
              <w:t>1</w:t>
            </w:r>
            <w:r w:rsidRPr="006E7BDD">
              <w:rPr>
                <w:rStyle w:val="Siln"/>
                <w:lang w:val="cs-CZ"/>
              </w:rPr>
              <w:t>,</w:t>
            </w:r>
            <w:r w:rsidR="00F16843" w:rsidRPr="006E7BDD">
              <w:rPr>
                <w:rStyle w:val="Siln"/>
                <w:lang w:val="cs-CZ"/>
              </w:rPr>
              <w:t>2</w:t>
            </w:r>
            <w:r w:rsidRPr="006E7BDD">
              <w:rPr>
                <w:rStyle w:val="Siln"/>
                <w:lang w:val="cs-CZ"/>
              </w:rPr>
              <w:t xml:space="preserve"> %</w:t>
            </w:r>
            <w:r w:rsidRPr="006E7BDD">
              <w:rPr>
                <w:lang w:val="cs-CZ"/>
              </w:rPr>
              <w:br/>
              <w:t xml:space="preserve">- </w:t>
            </w:r>
            <w:r w:rsidR="00F16843" w:rsidRPr="006E7BDD">
              <w:rPr>
                <w:lang w:val="cs-CZ"/>
              </w:rPr>
              <w:t>8</w:t>
            </w:r>
            <w:r w:rsidRPr="006E7BDD">
              <w:rPr>
                <w:lang w:val="cs-CZ"/>
              </w:rPr>
              <w:t>,</w:t>
            </w:r>
            <w:r w:rsidR="00F16843" w:rsidRPr="006E7BDD">
              <w:rPr>
                <w:lang w:val="cs-CZ"/>
              </w:rPr>
              <w:t>9</w:t>
            </w:r>
            <w:r w:rsidRPr="006E7BDD">
              <w:rPr>
                <w:lang w:val="cs-CZ"/>
              </w:rPr>
              <w:t xml:space="preserve"> %</w:t>
            </w:r>
            <w:r w:rsidRPr="006E7BDD">
              <w:rPr>
                <w:lang w:val="cs-CZ"/>
              </w:rPr>
              <w:br/>
              <w:t xml:space="preserve">+ </w:t>
            </w:r>
            <w:r w:rsidR="00F16843" w:rsidRPr="006E7BDD">
              <w:rPr>
                <w:lang w:val="cs-CZ"/>
              </w:rPr>
              <w:t>13</w:t>
            </w:r>
            <w:r w:rsidRPr="006E7BDD">
              <w:rPr>
                <w:lang w:val="cs-CZ"/>
              </w:rPr>
              <w:t>,</w:t>
            </w:r>
            <w:r w:rsidR="00F16843" w:rsidRPr="006E7BDD">
              <w:rPr>
                <w:lang w:val="cs-CZ"/>
              </w:rPr>
              <w:t>6</w:t>
            </w:r>
            <w:r w:rsidRPr="006E7BDD">
              <w:rPr>
                <w:lang w:val="cs-CZ"/>
              </w:rPr>
              <w:t xml:space="preserve"> %</w:t>
            </w:r>
            <w:r w:rsidRPr="006E7BDD">
              <w:rPr>
                <w:lang w:val="cs-CZ"/>
              </w:rPr>
              <w:br/>
              <w:t>+ 6,</w:t>
            </w:r>
            <w:r w:rsidR="00F16843" w:rsidRPr="006E7BDD">
              <w:rPr>
                <w:lang w:val="cs-CZ"/>
              </w:rPr>
              <w:t>2</w:t>
            </w:r>
            <w:r w:rsidRPr="006E7BDD">
              <w:rPr>
                <w:lang w:val="cs-CZ"/>
              </w:rPr>
              <w:t xml:space="preserve"> %</w:t>
            </w: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A4463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EBIT</w:t>
            </w:r>
            <w:r w:rsidRPr="006E7BDD">
              <w:rPr>
                <w:lang w:val="cs-CZ"/>
              </w:rPr>
              <w:br/>
            </w:r>
            <w:proofErr w:type="spellStart"/>
            <w:r w:rsidRPr="006E7BDD">
              <w:rPr>
                <w:rStyle w:val="Siln"/>
                <w:lang w:val="cs-CZ"/>
              </w:rPr>
              <w:t>Sheetfed</w:t>
            </w:r>
            <w:proofErr w:type="spellEnd"/>
            <w:r w:rsidRPr="006E7BDD">
              <w:rPr>
                <w:rStyle w:val="Siln"/>
                <w:lang w:val="cs-CZ"/>
              </w:rPr>
              <w:br/>
              <w:t>Digital &amp; Web</w:t>
            </w:r>
            <w:r w:rsidRPr="006E7BDD">
              <w:rPr>
                <w:lang w:val="cs-CZ"/>
              </w:rPr>
              <w:br/>
            </w:r>
            <w:proofErr w:type="spellStart"/>
            <w:r w:rsidRPr="006E7BDD">
              <w:rPr>
                <w:b w:val="0"/>
                <w:lang w:val="cs-CZ"/>
              </w:rPr>
              <w:t>Special</w:t>
            </w:r>
            <w:proofErr w:type="spellEnd"/>
            <w:r w:rsidRPr="006E7BDD">
              <w:rPr>
                <w:b w:val="0"/>
                <w:lang w:val="cs-CZ"/>
              </w:rPr>
              <w:br/>
            </w:r>
            <w:r w:rsidR="004C3414" w:rsidRPr="006E7BDD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>-1,9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0,4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-4,5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3,8</w:t>
            </w:r>
            <w:r w:rsidR="006B2D44" w:rsidRPr="006E7BDD">
              <w:rPr>
                <w:lang w:val="cs-CZ"/>
              </w:rPr>
              <w:br/>
              <w:t>-</w:t>
            </w:r>
            <w:r w:rsidRPr="006E7BDD">
              <w:rPr>
                <w:lang w:val="cs-CZ"/>
              </w:rPr>
              <w:t>1</w:t>
            </w:r>
            <w:r w:rsidR="006B2D44" w:rsidRPr="006E7BDD">
              <w:rPr>
                <w:lang w:val="cs-CZ"/>
              </w:rPr>
              <w:t>,</w:t>
            </w:r>
            <w:r w:rsidRPr="006E7BDD">
              <w:rPr>
                <w:lang w:val="cs-CZ"/>
              </w:rPr>
              <w:t>6</w:t>
            </w:r>
          </w:p>
        </w:tc>
        <w:tc>
          <w:tcPr>
            <w:tcW w:w="1871" w:type="dxa"/>
          </w:tcPr>
          <w:p w:rsidR="00A44634" w:rsidRPr="006E7BDD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6E7BDD">
              <w:rPr>
                <w:rStyle w:val="Siln"/>
                <w:lang w:val="cs-CZ"/>
              </w:rPr>
              <w:t>-2,8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-3,1</w:t>
            </w:r>
            <w:r w:rsidR="006B2D44" w:rsidRPr="006E7BDD">
              <w:rPr>
                <w:lang w:val="cs-CZ"/>
              </w:rPr>
              <w:br/>
              <w:t>-</w:t>
            </w:r>
            <w:r w:rsidRPr="006E7BDD">
              <w:rPr>
                <w:lang w:val="cs-CZ"/>
              </w:rPr>
              <w:t>5,6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2,0</w:t>
            </w:r>
            <w:r w:rsidR="006B2D44" w:rsidRPr="006E7BDD">
              <w:rPr>
                <w:lang w:val="cs-CZ"/>
              </w:rPr>
              <w:br/>
            </w:r>
            <w:r w:rsidRPr="006E7BDD">
              <w:rPr>
                <w:lang w:val="cs-CZ"/>
              </w:rPr>
              <w:t>3,9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 xml:space="preserve">Výsledek před zdaněním </w:t>
            </w:r>
            <w:r w:rsidR="00A44634" w:rsidRPr="006E7BDD">
              <w:rPr>
                <w:lang w:val="cs-CZ"/>
              </w:rPr>
              <w:t>(EBT)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-2,9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-4,1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Výsledek koncernu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-2,3</w:t>
            </w:r>
          </w:p>
        </w:tc>
        <w:tc>
          <w:tcPr>
            <w:tcW w:w="1871" w:type="dxa"/>
          </w:tcPr>
          <w:p w:rsidR="00A44634" w:rsidRPr="006E7BDD" w:rsidRDefault="00F16843" w:rsidP="00CC57C9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-4,9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Výsledek á</w:t>
            </w:r>
            <w:r w:rsidR="00A44634" w:rsidRPr="006E7BDD">
              <w:rPr>
                <w:lang w:val="cs-CZ"/>
              </w:rPr>
              <w:t xml:space="preserve"> </w:t>
            </w:r>
            <w:r w:rsidRPr="006E7BDD">
              <w:rPr>
                <w:lang w:val="cs-CZ"/>
              </w:rPr>
              <w:t>a</w:t>
            </w:r>
            <w:r w:rsidR="00A44634" w:rsidRPr="006E7BDD">
              <w:rPr>
                <w:lang w:val="cs-CZ"/>
              </w:rPr>
              <w:t>k</w:t>
            </w:r>
            <w:r w:rsidRPr="006E7BDD">
              <w:rPr>
                <w:lang w:val="cs-CZ"/>
              </w:rPr>
              <w:t xml:space="preserve">cie v </w:t>
            </w:r>
            <w:r w:rsidR="00A44634" w:rsidRPr="006E7BDD">
              <w:rPr>
                <w:lang w:val="cs-CZ"/>
              </w:rPr>
              <w:t>€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-0,15</w:t>
            </w:r>
          </w:p>
        </w:tc>
        <w:tc>
          <w:tcPr>
            <w:tcW w:w="1871" w:type="dxa"/>
          </w:tcPr>
          <w:p w:rsidR="00A44634" w:rsidRPr="006E7BDD" w:rsidRDefault="00F16843" w:rsidP="00CC57C9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-0,30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A4463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 xml:space="preserve">Cashflow </w:t>
            </w:r>
            <w:r w:rsidR="004C3414" w:rsidRPr="006E7BDD">
              <w:rPr>
                <w:lang w:val="cs-CZ"/>
              </w:rPr>
              <w:t>z provozní činnosti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20,3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-30,6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A4463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Bilan</w:t>
            </w:r>
            <w:r w:rsidR="004C3414" w:rsidRPr="006E7BDD">
              <w:rPr>
                <w:lang w:val="cs-CZ"/>
              </w:rPr>
              <w:t xml:space="preserve">ční suma </w:t>
            </w:r>
            <w:r w:rsidR="006E3618" w:rsidRPr="006E7BDD">
              <w:rPr>
                <w:b w:val="0"/>
                <w:lang w:val="cs-CZ"/>
              </w:rPr>
              <w:t>(</w:t>
            </w:r>
            <w:r w:rsidR="004C3414" w:rsidRPr="006E7BDD">
              <w:rPr>
                <w:b w:val="0"/>
                <w:lang w:val="cs-CZ"/>
              </w:rPr>
              <w:t>předchozí rok</w:t>
            </w:r>
            <w:r w:rsidR="006E3618" w:rsidRPr="006E7BDD">
              <w:rPr>
                <w:b w:val="0"/>
                <w:lang w:val="cs-CZ"/>
              </w:rPr>
              <w:t>: 31.12.)</w:t>
            </w:r>
          </w:p>
        </w:tc>
        <w:tc>
          <w:tcPr>
            <w:tcW w:w="1871" w:type="dxa"/>
          </w:tcPr>
          <w:p w:rsidR="00A44634" w:rsidRPr="006E7BDD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1.1</w:t>
            </w:r>
            <w:r w:rsidR="00F16843" w:rsidRPr="006E7BDD">
              <w:rPr>
                <w:b/>
                <w:lang w:val="cs-CZ"/>
              </w:rPr>
              <w:t>78,3</w:t>
            </w:r>
          </w:p>
        </w:tc>
        <w:tc>
          <w:tcPr>
            <w:tcW w:w="1871" w:type="dxa"/>
          </w:tcPr>
          <w:p w:rsidR="00A44634" w:rsidRPr="006E7BDD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1.17</w:t>
            </w:r>
            <w:r w:rsidR="00F16843" w:rsidRPr="006E7BDD">
              <w:rPr>
                <w:b/>
                <w:lang w:val="cs-CZ"/>
              </w:rPr>
              <w:t>5</w:t>
            </w:r>
            <w:r w:rsidRPr="006E7BDD">
              <w:rPr>
                <w:b/>
                <w:lang w:val="cs-CZ"/>
              </w:rPr>
              <w:t>,</w:t>
            </w:r>
            <w:r w:rsidR="00F16843" w:rsidRPr="006E7BDD">
              <w:rPr>
                <w:b/>
                <w:lang w:val="cs-CZ"/>
              </w:rPr>
              <w:t>8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A44634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Vlastní k</w:t>
            </w:r>
            <w:r w:rsidR="00A44634" w:rsidRPr="006E7BDD">
              <w:rPr>
                <w:lang w:val="cs-CZ"/>
              </w:rPr>
              <w:t>apit</w:t>
            </w:r>
            <w:r w:rsidRPr="006E7BDD">
              <w:rPr>
                <w:lang w:val="cs-CZ"/>
              </w:rPr>
              <w:t>á</w:t>
            </w:r>
            <w:r w:rsidR="00A44634" w:rsidRPr="006E7BDD">
              <w:rPr>
                <w:lang w:val="cs-CZ"/>
              </w:rPr>
              <w:t>l</w:t>
            </w:r>
            <w:r w:rsidR="006E3618" w:rsidRPr="006E7BDD">
              <w:rPr>
                <w:b w:val="0"/>
                <w:lang w:val="cs-CZ"/>
              </w:rPr>
              <w:t xml:space="preserve"> (</w:t>
            </w:r>
            <w:r w:rsidRPr="006E7BDD">
              <w:rPr>
                <w:b w:val="0"/>
                <w:lang w:val="cs-CZ"/>
              </w:rPr>
              <w:t>předchozí rok</w:t>
            </w:r>
            <w:r w:rsidR="006E3618" w:rsidRPr="006E7BDD">
              <w:rPr>
                <w:b w:val="0"/>
                <w:lang w:val="cs-CZ"/>
              </w:rPr>
              <w:t>: 31.12.)</w:t>
            </w:r>
          </w:p>
        </w:tc>
        <w:tc>
          <w:tcPr>
            <w:tcW w:w="1871" w:type="dxa"/>
          </w:tcPr>
          <w:p w:rsidR="00A44634" w:rsidRPr="006E7BDD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453,4</w:t>
            </w:r>
          </w:p>
        </w:tc>
        <w:tc>
          <w:tcPr>
            <w:tcW w:w="1871" w:type="dxa"/>
          </w:tcPr>
          <w:p w:rsidR="00A44634" w:rsidRPr="006E7BDD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4</w:t>
            </w:r>
            <w:r w:rsidR="00F16843" w:rsidRPr="006E7BDD">
              <w:rPr>
                <w:b/>
                <w:lang w:val="cs-CZ"/>
              </w:rPr>
              <w:t>41,4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6E7BDD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6E7BDD" w:rsidRDefault="004C3414" w:rsidP="00F16843">
            <w:pPr>
              <w:spacing w:after="240"/>
              <w:rPr>
                <w:lang w:val="cs-CZ"/>
              </w:rPr>
            </w:pPr>
            <w:r w:rsidRPr="006E7BDD">
              <w:rPr>
                <w:lang w:val="cs-CZ"/>
              </w:rPr>
              <w:t>Zaměstnanci</w:t>
            </w:r>
            <w:r w:rsidR="00A44634" w:rsidRPr="006E7BDD">
              <w:rPr>
                <w:lang w:val="cs-CZ"/>
              </w:rPr>
              <w:br/>
            </w:r>
            <w:r w:rsidRPr="006E7BDD">
              <w:rPr>
                <w:b w:val="0"/>
                <w:lang w:val="cs-CZ"/>
              </w:rPr>
              <w:t xml:space="preserve">z toho učňové/praktikanti </w:t>
            </w:r>
          </w:p>
        </w:tc>
        <w:tc>
          <w:tcPr>
            <w:tcW w:w="1871" w:type="dxa"/>
          </w:tcPr>
          <w:p w:rsidR="00A44634" w:rsidRPr="006E7BDD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5.</w:t>
            </w:r>
            <w:r w:rsidR="00F16843" w:rsidRPr="006E7BDD">
              <w:rPr>
                <w:b/>
                <w:lang w:val="cs-CZ"/>
              </w:rPr>
              <w:t>604</w:t>
            </w:r>
            <w:r w:rsidRPr="006E7BDD">
              <w:rPr>
                <w:b/>
                <w:lang w:val="cs-CZ"/>
              </w:rPr>
              <w:br/>
            </w:r>
            <w:r w:rsidR="00F16843" w:rsidRPr="006E7BDD">
              <w:rPr>
                <w:lang w:val="cs-CZ"/>
              </w:rPr>
              <w:t>271</w:t>
            </w:r>
          </w:p>
        </w:tc>
        <w:tc>
          <w:tcPr>
            <w:tcW w:w="1871" w:type="dxa"/>
          </w:tcPr>
          <w:p w:rsidR="00A44634" w:rsidRPr="006E7BDD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6E7BDD">
              <w:rPr>
                <w:b/>
                <w:lang w:val="cs-CZ"/>
              </w:rPr>
              <w:t>5.7</w:t>
            </w:r>
            <w:r w:rsidR="00F16843" w:rsidRPr="006E7BDD">
              <w:rPr>
                <w:b/>
                <w:lang w:val="cs-CZ"/>
              </w:rPr>
              <w:t>06</w:t>
            </w:r>
            <w:r w:rsidRPr="006E7BDD">
              <w:rPr>
                <w:b/>
                <w:lang w:val="cs-CZ"/>
              </w:rPr>
              <w:br/>
            </w:r>
            <w:r w:rsidR="00F16843" w:rsidRPr="006E7BDD">
              <w:rPr>
                <w:lang w:val="cs-CZ"/>
              </w:rPr>
              <w:t>270</w:t>
            </w:r>
          </w:p>
        </w:tc>
        <w:tc>
          <w:tcPr>
            <w:tcW w:w="1871" w:type="dxa"/>
          </w:tcPr>
          <w:p w:rsidR="00A44634" w:rsidRPr="006E7BDD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</w:tbl>
    <w:p w:rsidR="00EC73CA" w:rsidRPr="006E7BDD" w:rsidRDefault="00EC73CA" w:rsidP="00A44634">
      <w:pPr>
        <w:spacing w:after="240"/>
        <w:rPr>
          <w:lang w:val="cs-CZ"/>
        </w:rPr>
      </w:pPr>
    </w:p>
    <w:sectPr w:rsidR="00EC73CA" w:rsidRPr="006E7BDD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DB" w:rsidRDefault="00E72EDB" w:rsidP="00647A4F">
      <w:pPr>
        <w:spacing w:after="240"/>
      </w:pPr>
      <w:r>
        <w:separator/>
      </w:r>
    </w:p>
    <w:p w:rsidR="00E72EDB" w:rsidRDefault="00E72EDB" w:rsidP="00647A4F">
      <w:pPr>
        <w:spacing w:after="240"/>
      </w:pPr>
    </w:p>
  </w:endnote>
  <w:endnote w:type="continuationSeparator" w:id="0">
    <w:p w:rsidR="00E72EDB" w:rsidRDefault="00E72EDB" w:rsidP="00647A4F">
      <w:pPr>
        <w:spacing w:after="240"/>
      </w:pPr>
      <w:r>
        <w:continuationSeparator/>
      </w:r>
    </w:p>
    <w:p w:rsidR="00E72EDB" w:rsidRDefault="00E72EDB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E" w:rsidRDefault="00BD7EEE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E" w:rsidRPr="00F82B5C" w:rsidRDefault="009A6BD5" w:rsidP="00182744">
    <w:pPr>
      <w:pStyle w:val="Zpat"/>
      <w:spacing w:after="240"/>
    </w:pPr>
    <w:sdt>
      <w:sdtPr>
        <w:rPr>
          <w:lang w:val="cs-CZ"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A6BD5">
          <w:rPr>
            <w:lang w:val="cs-CZ"/>
          </w:rPr>
          <w:t>O 10,2 % vyšší objem přijatých zakázek u skupiny Koenig &amp; Bauer</w:t>
        </w:r>
      </w:sdtContent>
    </w:sdt>
    <w:r w:rsidR="00BD7EEE">
      <w:t xml:space="preserve"> | </w:t>
    </w:r>
    <w:r w:rsidR="00BD7EEE">
      <w:fldChar w:fldCharType="begin"/>
    </w:r>
    <w:r w:rsidR="00BD7EEE">
      <w:instrText xml:space="preserve"> PAGE </w:instrText>
    </w:r>
    <w:r w:rsidR="00BD7EEE">
      <w:fldChar w:fldCharType="separate"/>
    </w:r>
    <w:r w:rsidR="00306857">
      <w:t>1</w:t>
    </w:r>
    <w:r w:rsidR="00BD7EE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E" w:rsidRDefault="00306857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6BD5">
          <w:t>O 10,2 % vyšší objem přijatých zakázek u skupiny Koenig &amp; Bauer</w:t>
        </w:r>
      </w:sdtContent>
    </w:sdt>
    <w:r w:rsidR="00BD7EEE">
      <w:t xml:space="preserve"> | </w:t>
    </w:r>
    <w:r w:rsidR="00BD7EEE">
      <w:fldChar w:fldCharType="begin"/>
    </w:r>
    <w:r w:rsidR="00BD7EEE">
      <w:instrText xml:space="preserve"> PAGE </w:instrText>
    </w:r>
    <w:r w:rsidR="00BD7EEE">
      <w:fldChar w:fldCharType="separate"/>
    </w:r>
    <w:r w:rsidR="00BD7EEE">
      <w:t>1</w:t>
    </w:r>
    <w:r w:rsidR="00BD7EE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DB" w:rsidRDefault="00E72EDB" w:rsidP="00647A4F">
      <w:pPr>
        <w:spacing w:after="240"/>
      </w:pPr>
      <w:r>
        <w:separator/>
      </w:r>
    </w:p>
  </w:footnote>
  <w:footnote w:type="continuationSeparator" w:id="0">
    <w:p w:rsidR="00E72EDB" w:rsidRDefault="00E72EDB" w:rsidP="00647A4F">
      <w:pPr>
        <w:spacing w:after="240"/>
      </w:pPr>
      <w:r>
        <w:continuationSeparator/>
      </w:r>
    </w:p>
    <w:p w:rsidR="00E72EDB" w:rsidRDefault="00E72EDB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E" w:rsidRDefault="00BD7EEE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E" w:rsidRDefault="00BD7EEE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E" w:rsidRPr="000B7CEC" w:rsidRDefault="00BD7EEE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51F1D"/>
    <w:rsid w:val="00056DB6"/>
    <w:rsid w:val="000706A2"/>
    <w:rsid w:val="00077BFF"/>
    <w:rsid w:val="000877CE"/>
    <w:rsid w:val="000A70ED"/>
    <w:rsid w:val="000B7CEC"/>
    <w:rsid w:val="000C49F7"/>
    <w:rsid w:val="000C511A"/>
    <w:rsid w:val="000C534C"/>
    <w:rsid w:val="000D1507"/>
    <w:rsid w:val="000E431A"/>
    <w:rsid w:val="000F6B6A"/>
    <w:rsid w:val="00114FE6"/>
    <w:rsid w:val="00116A26"/>
    <w:rsid w:val="00133BCF"/>
    <w:rsid w:val="00163241"/>
    <w:rsid w:val="0016411F"/>
    <w:rsid w:val="0016774E"/>
    <w:rsid w:val="001807EE"/>
    <w:rsid w:val="001808D2"/>
    <w:rsid w:val="00182744"/>
    <w:rsid w:val="001873CB"/>
    <w:rsid w:val="001B5BAA"/>
    <w:rsid w:val="001B747C"/>
    <w:rsid w:val="001C394D"/>
    <w:rsid w:val="001D7395"/>
    <w:rsid w:val="001E5ABB"/>
    <w:rsid w:val="001F5D76"/>
    <w:rsid w:val="00204EAE"/>
    <w:rsid w:val="0021638F"/>
    <w:rsid w:val="002175CB"/>
    <w:rsid w:val="0022027F"/>
    <w:rsid w:val="00262470"/>
    <w:rsid w:val="00265400"/>
    <w:rsid w:val="0027081D"/>
    <w:rsid w:val="00282128"/>
    <w:rsid w:val="002A5D4F"/>
    <w:rsid w:val="002B77B3"/>
    <w:rsid w:val="002C05E4"/>
    <w:rsid w:val="002C2146"/>
    <w:rsid w:val="002E1AB6"/>
    <w:rsid w:val="002E3557"/>
    <w:rsid w:val="00306857"/>
    <w:rsid w:val="00317AD1"/>
    <w:rsid w:val="00324B88"/>
    <w:rsid w:val="00356744"/>
    <w:rsid w:val="003603A1"/>
    <w:rsid w:val="00382047"/>
    <w:rsid w:val="003929BD"/>
    <w:rsid w:val="003A0BCE"/>
    <w:rsid w:val="003A6215"/>
    <w:rsid w:val="003B7A63"/>
    <w:rsid w:val="003D1D5D"/>
    <w:rsid w:val="003E237C"/>
    <w:rsid w:val="00407116"/>
    <w:rsid w:val="00413B84"/>
    <w:rsid w:val="0041506E"/>
    <w:rsid w:val="00415752"/>
    <w:rsid w:val="004158D7"/>
    <w:rsid w:val="00421280"/>
    <w:rsid w:val="00432025"/>
    <w:rsid w:val="00432594"/>
    <w:rsid w:val="0043291F"/>
    <w:rsid w:val="00437024"/>
    <w:rsid w:val="00451F82"/>
    <w:rsid w:val="00453792"/>
    <w:rsid w:val="004628E4"/>
    <w:rsid w:val="004676E1"/>
    <w:rsid w:val="00470F72"/>
    <w:rsid w:val="004B1583"/>
    <w:rsid w:val="004B210E"/>
    <w:rsid w:val="004B5DBB"/>
    <w:rsid w:val="004C3414"/>
    <w:rsid w:val="004D38B5"/>
    <w:rsid w:val="004E33CC"/>
    <w:rsid w:val="004E6239"/>
    <w:rsid w:val="00522321"/>
    <w:rsid w:val="00524C68"/>
    <w:rsid w:val="00533745"/>
    <w:rsid w:val="0055123F"/>
    <w:rsid w:val="00563C4E"/>
    <w:rsid w:val="0057450D"/>
    <w:rsid w:val="00581B46"/>
    <w:rsid w:val="00581FA3"/>
    <w:rsid w:val="00584EAD"/>
    <w:rsid w:val="005865F5"/>
    <w:rsid w:val="005A1925"/>
    <w:rsid w:val="005A281B"/>
    <w:rsid w:val="005B1FCC"/>
    <w:rsid w:val="005B4806"/>
    <w:rsid w:val="005E1ABB"/>
    <w:rsid w:val="005E5705"/>
    <w:rsid w:val="005F3C60"/>
    <w:rsid w:val="005F53EE"/>
    <w:rsid w:val="00614D7E"/>
    <w:rsid w:val="0063340E"/>
    <w:rsid w:val="006462C0"/>
    <w:rsid w:val="00647A4F"/>
    <w:rsid w:val="00656641"/>
    <w:rsid w:val="00673988"/>
    <w:rsid w:val="00677B21"/>
    <w:rsid w:val="00697DB1"/>
    <w:rsid w:val="006B2D44"/>
    <w:rsid w:val="006C637E"/>
    <w:rsid w:val="006E3618"/>
    <w:rsid w:val="006E4518"/>
    <w:rsid w:val="006E7BDD"/>
    <w:rsid w:val="00704DFC"/>
    <w:rsid w:val="00722296"/>
    <w:rsid w:val="007334F4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163"/>
    <w:rsid w:val="007E23ED"/>
    <w:rsid w:val="007F034C"/>
    <w:rsid w:val="008202BA"/>
    <w:rsid w:val="00854099"/>
    <w:rsid w:val="00860C9C"/>
    <w:rsid w:val="00866F90"/>
    <w:rsid w:val="00886F29"/>
    <w:rsid w:val="008905C5"/>
    <w:rsid w:val="008A14C6"/>
    <w:rsid w:val="008B6066"/>
    <w:rsid w:val="008C2BC0"/>
    <w:rsid w:val="008C4732"/>
    <w:rsid w:val="008C5FFE"/>
    <w:rsid w:val="008C6097"/>
    <w:rsid w:val="00920C28"/>
    <w:rsid w:val="009229D0"/>
    <w:rsid w:val="009317D1"/>
    <w:rsid w:val="00953661"/>
    <w:rsid w:val="009575A9"/>
    <w:rsid w:val="00975E61"/>
    <w:rsid w:val="009870F4"/>
    <w:rsid w:val="009A6BD5"/>
    <w:rsid w:val="009B10BB"/>
    <w:rsid w:val="009E29CD"/>
    <w:rsid w:val="009E7CEF"/>
    <w:rsid w:val="00A10D03"/>
    <w:rsid w:val="00A112E7"/>
    <w:rsid w:val="00A15613"/>
    <w:rsid w:val="00A207E9"/>
    <w:rsid w:val="00A241F4"/>
    <w:rsid w:val="00A330C0"/>
    <w:rsid w:val="00A37572"/>
    <w:rsid w:val="00A44634"/>
    <w:rsid w:val="00A561D4"/>
    <w:rsid w:val="00A601FE"/>
    <w:rsid w:val="00A60D90"/>
    <w:rsid w:val="00A669E1"/>
    <w:rsid w:val="00A74286"/>
    <w:rsid w:val="00A77974"/>
    <w:rsid w:val="00A86E07"/>
    <w:rsid w:val="00A94015"/>
    <w:rsid w:val="00A95799"/>
    <w:rsid w:val="00AA6529"/>
    <w:rsid w:val="00AF4C5F"/>
    <w:rsid w:val="00B06C8C"/>
    <w:rsid w:val="00B51FA3"/>
    <w:rsid w:val="00B622F0"/>
    <w:rsid w:val="00B66B5F"/>
    <w:rsid w:val="00B842C5"/>
    <w:rsid w:val="00BA3329"/>
    <w:rsid w:val="00BC4F56"/>
    <w:rsid w:val="00BD7EEE"/>
    <w:rsid w:val="00BE117C"/>
    <w:rsid w:val="00BF5D04"/>
    <w:rsid w:val="00BF6AC1"/>
    <w:rsid w:val="00C0462C"/>
    <w:rsid w:val="00C06B94"/>
    <w:rsid w:val="00C1069D"/>
    <w:rsid w:val="00C275C9"/>
    <w:rsid w:val="00C66DA1"/>
    <w:rsid w:val="00C86F03"/>
    <w:rsid w:val="00C905B6"/>
    <w:rsid w:val="00C97C18"/>
    <w:rsid w:val="00CC57C9"/>
    <w:rsid w:val="00CD0A11"/>
    <w:rsid w:val="00CE1F7E"/>
    <w:rsid w:val="00CE56BD"/>
    <w:rsid w:val="00CE7598"/>
    <w:rsid w:val="00D04612"/>
    <w:rsid w:val="00D05BF0"/>
    <w:rsid w:val="00D23C2E"/>
    <w:rsid w:val="00D37C08"/>
    <w:rsid w:val="00D430A8"/>
    <w:rsid w:val="00D52184"/>
    <w:rsid w:val="00D52424"/>
    <w:rsid w:val="00D66283"/>
    <w:rsid w:val="00D70659"/>
    <w:rsid w:val="00D80630"/>
    <w:rsid w:val="00D86083"/>
    <w:rsid w:val="00D87652"/>
    <w:rsid w:val="00D95359"/>
    <w:rsid w:val="00DA7970"/>
    <w:rsid w:val="00DC1E0A"/>
    <w:rsid w:val="00DC7376"/>
    <w:rsid w:val="00DD406D"/>
    <w:rsid w:val="00DE4560"/>
    <w:rsid w:val="00DF560B"/>
    <w:rsid w:val="00E05EB4"/>
    <w:rsid w:val="00E1738C"/>
    <w:rsid w:val="00E30EBC"/>
    <w:rsid w:val="00E41C36"/>
    <w:rsid w:val="00E72996"/>
    <w:rsid w:val="00E72EDB"/>
    <w:rsid w:val="00E75308"/>
    <w:rsid w:val="00E7632B"/>
    <w:rsid w:val="00E9379C"/>
    <w:rsid w:val="00EA1A60"/>
    <w:rsid w:val="00EA4506"/>
    <w:rsid w:val="00EA5681"/>
    <w:rsid w:val="00EC73CA"/>
    <w:rsid w:val="00F01893"/>
    <w:rsid w:val="00F12B8D"/>
    <w:rsid w:val="00F16843"/>
    <w:rsid w:val="00F43876"/>
    <w:rsid w:val="00F53973"/>
    <w:rsid w:val="00F5748A"/>
    <w:rsid w:val="00F63846"/>
    <w:rsid w:val="00F72EBD"/>
    <w:rsid w:val="00F82B5C"/>
    <w:rsid w:val="00F84F59"/>
    <w:rsid w:val="00FA2046"/>
    <w:rsid w:val="00FA5ACD"/>
    <w:rsid w:val="00FB2412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B9E172-EAE8-441E-B6BD-47C9D8A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4C341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customStyle="1" w:styleId="FlietextStandardZchn">
    <w:name w:val="Fließtext Standard Zchn"/>
    <w:link w:val="FlietextStandard"/>
    <w:uiPriority w:val="10"/>
    <w:locked/>
    <w:rsid w:val="004C3414"/>
    <w:rPr>
      <w:rFonts w:ascii="Arial" w:eastAsia="Times New Roman" w:hAnsi="Arial" w:cs="Times New Roman"/>
      <w:color w:val="0A0A0A"/>
      <w:sz w:val="20"/>
      <w:szCs w:val="20"/>
    </w:rPr>
  </w:style>
  <w:style w:type="character" w:styleId="Zdraznnjemn">
    <w:name w:val="Subtle Emphasis"/>
    <w:uiPriority w:val="19"/>
    <w:qFormat/>
    <w:rsid w:val="004C3414"/>
    <w:rPr>
      <w:rFonts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heusin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88E9-0FA1-40F9-AB27-869A486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1257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10,2 % höherer Auftragseingang bei Koenig &amp; Bauer</vt:lpstr>
      <vt:lpstr>10,2 % höherer Auftragseingang im Koenig &amp; Bauer-Konzern</vt:lpstr>
    </vt:vector>
  </TitlesOfParts>
  <Company>Koenig &amp; Bauer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10,2 % vyšší objem přijatých zakázek u skupiny Koenig &amp; Bauer</dc:title>
  <dc:creator>Bausenwein, Linda (ZM)</dc:creator>
  <dc:description>Optimiert für Word 2016</dc:description>
  <cp:lastModifiedBy>Stanislav Vaníček</cp:lastModifiedBy>
  <cp:revision>17</cp:revision>
  <cp:lastPrinted>2019-05-12T19:14:00Z</cp:lastPrinted>
  <dcterms:created xsi:type="dcterms:W3CDTF">2019-05-09T14:32:00Z</dcterms:created>
  <dcterms:modified xsi:type="dcterms:W3CDTF">2019-05-13T08:38:00Z</dcterms:modified>
</cp:coreProperties>
</file>