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F620" w14:textId="12153782" w:rsidR="00B35A99" w:rsidRPr="00356F71" w:rsidRDefault="00BC3DB5" w:rsidP="00B35A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</w:pPr>
      <w:bookmarkStart w:id="0" w:name="_GoBack"/>
      <w:r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P</w:t>
      </w:r>
      <w:r w:rsidR="00B35A99"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o</w:t>
      </w:r>
      <w:r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kračující rozvoj ko</w:t>
      </w:r>
      <w:r w:rsidR="00B35A99"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n</w:t>
      </w:r>
      <w:r w:rsidR="00016A90"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c</w:t>
      </w:r>
      <w:r w:rsidR="00B35A99"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ern</w:t>
      </w:r>
      <w:r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>u</w:t>
      </w:r>
      <w:r w:rsidR="00016A90" w:rsidRPr="00356F71">
        <w:rPr>
          <w:rFonts w:ascii="Arial" w:eastAsia="Times New Roman" w:hAnsi="Arial" w:cs="Arial"/>
          <w:b/>
          <w:bCs/>
          <w:color w:val="F02D32"/>
          <w:kern w:val="36"/>
          <w:sz w:val="28"/>
          <w:szCs w:val="48"/>
          <w:lang w:eastAsia="cs-CZ"/>
        </w:rPr>
        <w:t xml:space="preserve"> i ve složité hospodářské situaci</w:t>
      </w:r>
    </w:p>
    <w:bookmarkEnd w:id="0"/>
    <w:p w14:paraId="70E13F0C" w14:textId="524DDAC5" w:rsidR="00D73E9C" w:rsidRDefault="00B35A99" w:rsidP="00D73E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</w:pPr>
      <w:r w:rsidRPr="00B35A99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 xml:space="preserve">Koenig &amp; Bauer </w:t>
      </w:r>
      <w:r w:rsidR="00BC3DB5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 xml:space="preserve">se připravuje </w:t>
      </w:r>
      <w:proofErr w:type="gramStart"/>
      <w:r w:rsidR="00BC3DB5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 xml:space="preserve">na </w:t>
      </w:r>
      <w:r w:rsidR="00016A90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 xml:space="preserve"> bud</w:t>
      </w:r>
      <w:r w:rsidR="00D73E9C">
        <w:rPr>
          <w:rFonts w:ascii="Arial" w:eastAsia="Times New Roman" w:hAnsi="Arial" w:cs="Arial"/>
          <w:b/>
          <w:bCs/>
          <w:color w:val="0A0F0A"/>
          <w:spacing w:val="-15"/>
          <w:kern w:val="36"/>
          <w:sz w:val="48"/>
          <w:szCs w:val="48"/>
          <w:lang w:eastAsia="cs-CZ"/>
        </w:rPr>
        <w:t>oucnost</w:t>
      </w:r>
      <w:proofErr w:type="gramEnd"/>
    </w:p>
    <w:p w14:paraId="02C10A68" w14:textId="74B2596C" w:rsidR="00B35A99" w:rsidRPr="007F175F" w:rsidRDefault="00B60470" w:rsidP="00D73E9C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142"/>
        <w:outlineLvl w:val="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Setrvávající orientace na </w:t>
      </w:r>
      <w:r w:rsidR="007F175F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>ro</w:t>
      </w:r>
      <w:r w:rsidR="00534348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>stoucí</w:t>
      </w:r>
      <w:r w:rsidR="007F175F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 trh obalů</w:t>
      </w:r>
    </w:p>
    <w:p w14:paraId="5FF69913" w14:textId="5259E9C7" w:rsidR="007F175F" w:rsidRPr="00BA5D08" w:rsidRDefault="007F175F" w:rsidP="00D73E9C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142"/>
        <w:outlineLvl w:val="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Jasné </w:t>
      </w:r>
      <w:r w:rsidR="00103DA2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potvrzení pokračování </w:t>
      </w:r>
      <w:r w:rsidR="00534348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v </w:t>
      </w:r>
      <w:r w:rsidR="00103DA2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dosavadní </w:t>
      </w:r>
      <w:r w:rsidR="00BA5D08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>strategi</w:t>
      </w:r>
      <w:r w:rsidR="005F1394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>i</w:t>
      </w:r>
      <w:r w:rsidR="00BA5D08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 portfolia</w:t>
      </w:r>
    </w:p>
    <w:p w14:paraId="35A11891" w14:textId="2542756F" w:rsidR="00BA5D08" w:rsidRPr="00D73E9C" w:rsidRDefault="00BA5D08" w:rsidP="00D73E9C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142"/>
        <w:outlineLvl w:val="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Náklady na výzkum a vývoj zůstanou </w:t>
      </w:r>
      <w:r w:rsidR="00801BAE"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>nedotčeny</w:t>
      </w:r>
      <w:r>
        <w:rPr>
          <w:rFonts w:ascii="Arial" w:eastAsia="Times New Roman" w:hAnsi="Arial" w:cs="Arial"/>
          <w:b/>
          <w:bCs/>
          <w:color w:val="0A0F0A"/>
          <w:sz w:val="24"/>
          <w:szCs w:val="24"/>
          <w:lang w:eastAsia="cs-CZ"/>
        </w:rPr>
        <w:t xml:space="preserve"> </w:t>
      </w:r>
    </w:p>
    <w:p w14:paraId="4E3DDCE1" w14:textId="5E94E44B" w:rsidR="00B35A99" w:rsidRPr="00B35A99" w:rsidRDefault="00A8390A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Představenstvo skupiny 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Koenig &amp; B</w:t>
      </w:r>
      <w:r w:rsidR="0022271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auer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22271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vyvinulo a rozšířilo </w:t>
      </w:r>
      <w:r w:rsidR="00523CB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</w:t>
      </w:r>
      <w:r w:rsidR="001B550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posílení své pozice přední</w:t>
      </w:r>
      <w:r w:rsidR="009E2B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ho dodavatele pro </w:t>
      </w:r>
      <w:r w:rsidR="004A46E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potisk </w:t>
      </w:r>
      <w:r w:rsidR="009E2B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obal</w:t>
      </w:r>
      <w:r w:rsidR="004A46E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ů, </w:t>
      </w:r>
      <w:r w:rsidR="009E2B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průmyslový</w:t>
      </w:r>
      <w:r w:rsidR="004A46E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tisk, tisk cenin a další zpracování </w:t>
      </w:r>
      <w:r w:rsidR="004033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i pro </w:t>
      </w:r>
      <w:r w:rsidR="009A070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navýšení</w:t>
      </w:r>
      <w:r w:rsidR="0040335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operativního </w:t>
      </w:r>
      <w:r w:rsidR="00793C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výnosu </w:t>
      </w:r>
      <w:r w:rsidR="009B1F3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během posledních měsíců </w:t>
      </w:r>
      <w:r w:rsidR="0009030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program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„Performance 2024“</w:t>
      </w:r>
      <w:r w:rsidR="00394A1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na zvýšení efektivnosti</w:t>
      </w:r>
      <w:r w:rsidR="0009030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. </w:t>
      </w:r>
      <w:r w:rsidR="009C768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Při pokračujícím a </w:t>
      </w:r>
      <w:r w:rsidR="00D27D2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</w:t>
      </w:r>
      <w:r w:rsidR="009C768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rychleném vývoji </w:t>
      </w:r>
      <w:r w:rsidR="0060162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inovací, procesů a produk</w:t>
      </w:r>
      <w:r w:rsidR="005441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tů by mělo být dosaženo </w:t>
      </w:r>
      <w:r w:rsidR="00463F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ročních efektů úspor v řádu více než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100 </w:t>
      </w:r>
      <w:r w:rsidR="001A3A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mil.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€ </w:t>
      </w:r>
      <w:r w:rsidR="0080553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 </w:t>
      </w:r>
      <w:r w:rsidR="00BB395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postupným růstem </w:t>
      </w:r>
      <w:r w:rsidR="001A3A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až do roku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2024. </w:t>
      </w:r>
      <w:r w:rsidR="001A3A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 tomu potřebné jednorázové náklady </w:t>
      </w:r>
      <w:r w:rsidR="003D159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</w:t>
      </w:r>
      <w:r w:rsidR="00F12A1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</w:t>
      </w:r>
      <w:r w:rsidR="001A3A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</w:t>
      </w:r>
      <w:r w:rsidR="003D159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růměrné</w:t>
      </w:r>
      <w:r w:rsidR="00F12A1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výši </w:t>
      </w:r>
      <w:r w:rsidR="003D159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dvoumístné</w:t>
      </w:r>
      <w:r w:rsidR="006864F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ho </w:t>
      </w:r>
      <w:r w:rsidR="007A475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milionového </w:t>
      </w:r>
      <w:r w:rsidR="00764AB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čísl</w:t>
      </w:r>
      <w:r w:rsidR="006864F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</w:t>
      </w:r>
      <w:r w:rsidR="00764AB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7A475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</w:t>
      </w:r>
      <w:r w:rsidR="00764AB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udou v hospodářském roce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2020 </w:t>
      </w:r>
      <w:r w:rsidR="00E26D3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</w:t>
      </w:r>
      <w:r w:rsidR="00F8187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ykázány </w:t>
      </w:r>
      <w:r w:rsidR="00E26D3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ve výsledku koncernu </w:t>
      </w:r>
      <w:r w:rsidR="00F8187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 straně nákladů </w:t>
      </w:r>
      <w:r w:rsidR="00E26D3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jako rezerva. </w:t>
      </w:r>
    </w:p>
    <w:p w14:paraId="364F7E2D" w14:textId="66B37169" w:rsidR="00B35A99" w:rsidRPr="00B35A99" w:rsidRDefault="00B35A99" w:rsidP="00B35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B35A99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drawing>
          <wp:inline distT="0" distB="0" distL="0" distR="0" wp14:anchorId="11A545D1" wp14:editId="7777117F">
            <wp:extent cx="5760720" cy="38423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FA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Představenstvo </w:t>
      </w:r>
      <w:r w:rsidR="00D0385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odpovědné za </w:t>
      </w:r>
      <w:r w:rsidR="00941FA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program </w:t>
      </w:r>
      <w:r w:rsidR="00AE539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„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Performance 2024</w:t>
      </w:r>
      <w:r w:rsidR="00AE539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“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AE539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 zvýšení efektivnosti </w:t>
      </w:r>
      <w:r w:rsidR="00941FA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objasňuj</w:t>
      </w:r>
      <w:r w:rsidR="008E3A0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</w:t>
      </w:r>
      <w:r w:rsidR="00941FA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9764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zaměstnancům opatření, která skupině umožní se i v</w:t>
      </w:r>
      <w:r w:rsidR="002362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</w:t>
      </w:r>
      <w:r w:rsidR="009764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</w:t>
      </w:r>
      <w:r w:rsidR="002362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složité</w:t>
      </w:r>
      <w:r w:rsidR="009764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celosvětové hospo</w:t>
      </w:r>
      <w:r w:rsidR="002362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dářské situaci dále rozvíjet</w:t>
      </w:r>
      <w:r w:rsidR="00CB130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(</w:t>
      </w:r>
      <w:r w:rsidR="006E05E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zleva doprava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: Michael </w:t>
      </w:r>
      <w:proofErr w:type="spellStart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Ulverich</w:t>
      </w:r>
      <w:proofErr w:type="spellEnd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COO, </w:t>
      </w:r>
      <w:proofErr w:type="spellStart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Claus</w:t>
      </w:r>
      <w:proofErr w:type="spellEnd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Bolza-Schünemann</w:t>
      </w:r>
      <w:proofErr w:type="spellEnd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CEO, Dr. Andreas </w:t>
      </w:r>
      <w:proofErr w:type="spellStart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Pleßke</w:t>
      </w:r>
      <w:proofErr w:type="spellEnd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</w:t>
      </w:r>
      <w:r w:rsidR="00FE348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člen představenstva segmentu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) (1)</w:t>
      </w:r>
    </w:p>
    <w:p w14:paraId="22A86768" w14:textId="77A23319" w:rsidR="00B35A99" w:rsidRPr="00B35A99" w:rsidRDefault="00381CCF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lastRenderedPageBreak/>
        <w:t>Konečné trhy, které s</w:t>
      </w:r>
      <w:r w:rsidR="009F161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kupin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</w:t>
      </w:r>
      <w:r w:rsidR="009F161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principiálně </w:t>
      </w:r>
      <w:r w:rsidR="009F161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oslov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uje</w:t>
      </w:r>
      <w:r w:rsidR="009F161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 jako struktur</w:t>
      </w:r>
      <w:r w:rsidR="002621A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ovaně</w:t>
      </w:r>
      <w:r w:rsidR="009F161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rostoucí </w:t>
      </w:r>
      <w:r w:rsidR="00E60A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potisk obalů a průmyslový tisk, </w:t>
      </w:r>
      <w:r w:rsidR="0086344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zůstávají v principu</w:t>
      </w:r>
      <w:r w:rsidR="003F30C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E9714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nedotčeny. To se významně ukazuje </w:t>
      </w:r>
      <w:r w:rsidR="000F6E2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 aktuálně dobrém vytížení tiskáren </w:t>
      </w:r>
      <w:r w:rsidR="00F8221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se zaměřením na potisk obalů pro potravinářský, nápojový a farmaceutický průmysl a </w:t>
      </w:r>
      <w:r w:rsidR="005D04D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expandující online obchod. </w:t>
      </w:r>
      <w:r w:rsidR="005B2DF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Přesto zákazníci </w:t>
      </w:r>
      <w:r w:rsidR="00B023E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odsunují </w:t>
      </w:r>
      <w:r w:rsidR="005B2DF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nové investice s ohledem na </w:t>
      </w:r>
      <w:r w:rsidR="00BD402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značné nejistoty v důsledku pandemie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Covid-19.</w:t>
      </w:r>
    </w:p>
    <w:p w14:paraId="3193B934" w14:textId="3C6B2505" w:rsidR="00B35A99" w:rsidRPr="00B35A99" w:rsidRDefault="00FB6995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Program</w:t>
      </w:r>
      <w:r w:rsidR="00FB2EC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který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běží více než čtyři roky</w:t>
      </w:r>
      <w:r w:rsidR="00FB2EC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</w:t>
      </w:r>
      <w:r w:rsidR="00B07BB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se </w:t>
      </w:r>
      <w:r w:rsidR="0059322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řadou opatření </w:t>
      </w:r>
      <w:r w:rsidR="00B07BB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zaměřuje na dlouhodobé posílení konkurenceschopnosti. </w:t>
      </w:r>
      <w:r w:rsidR="002B557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Díky</w:t>
      </w:r>
      <w:r w:rsidR="00E1653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velké</w:t>
      </w:r>
      <w:r w:rsidR="002B557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mu</w:t>
      </w:r>
      <w:r w:rsidR="00E1653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množství podnětů se program výroby </w:t>
      </w:r>
      <w:r w:rsidR="000A07C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rozvíjí podle požadavků trhu, </w:t>
      </w:r>
      <w:r w:rsidR="0083616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cílí na digitalizaci procesů a zároveň snížení výrobních nákladů. Skupina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</w:t>
      </w:r>
      <w:r w:rsidR="0083616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se dále soustředí na </w:t>
      </w:r>
      <w:r w:rsidR="00037FB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průběžná systémová řešení a optimalizace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Total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Cost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of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Ownership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(TCO) </w:t>
      </w:r>
      <w:r w:rsidR="00037FB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 zákazníky.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Investi</w:t>
      </w:r>
      <w:r w:rsidR="00037FB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ce do </w:t>
      </w:r>
      <w:r w:rsidR="00E0767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přímého potisku vlnité lepenky a dig</w:t>
      </w:r>
      <w:r w:rsidR="00AB556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it</w:t>
      </w:r>
      <w:r w:rsidR="00E0767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álního tisku i j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oint </w:t>
      </w:r>
      <w:r w:rsidR="00E0767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enture </w:t>
      </w:r>
      <w:r w:rsidR="00E0767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se skupinou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Durst</w:t>
      </w:r>
      <w:proofErr w:type="spellEnd"/>
      <w:r w:rsidR="00B1344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382D9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nabírá obrátek</w:t>
      </w:r>
      <w:r w:rsidR="00A323A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 zároveň jsou vyvíjena nová řešení pro </w:t>
      </w:r>
      <w:r w:rsidR="00A00CE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cenin</w:t>
      </w:r>
      <w:r w:rsidR="00D46BE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ový tisk</w:t>
      </w:r>
      <w:r w:rsidR="00A00CE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 Skupina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Koenig &amp; Bauer </w:t>
      </w:r>
      <w:r w:rsidR="00F7634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potvrzuje aktuální </w:t>
      </w:r>
      <w:r w:rsidR="00F64D7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produktové portf</w:t>
      </w:r>
      <w:r w:rsidR="00AB556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</w:t>
      </w:r>
      <w:r w:rsidR="00F64D7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lio, které bude </w:t>
      </w:r>
      <w:r w:rsidR="00C1758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i nadále </w:t>
      </w:r>
      <w:r w:rsidR="00F64D7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důsledně rozšiřovat. I další digitalizace servisu je v popředí zájmu. </w:t>
      </w:r>
    </w:p>
    <w:p w14:paraId="0B34D11E" w14:textId="1C677E00" w:rsidR="00B35A99" w:rsidRPr="00B35A99" w:rsidRDefault="00C2603B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Program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Performance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se soustředí vedle zvýšení efektivity i na </w:t>
      </w:r>
      <w:r w:rsidR="006B7FE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strukturu </w:t>
      </w:r>
      <w:r w:rsidR="008374B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koncernu, </w:t>
      </w:r>
      <w:r w:rsidR="0082127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jelikož v příštích letech </w:t>
      </w:r>
      <w:r w:rsidR="004C5DF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ne</w:t>
      </w:r>
      <w:r w:rsidR="0071620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lze</w:t>
      </w:r>
      <w:r w:rsidR="0082127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z důvodu celohospodářské situace</w:t>
      </w:r>
      <w:r w:rsidR="00C374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</w:t>
      </w:r>
      <w:r w:rsidR="00A1159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přetrvávajícího</w:t>
      </w:r>
      <w:r w:rsidR="00C374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omezení cestování a stále se </w:t>
      </w:r>
      <w:r w:rsidR="0040079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šířící</w:t>
      </w:r>
      <w:r w:rsidR="009A0AF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ho</w:t>
      </w:r>
      <w:r w:rsidR="0040079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vir</w:t>
      </w:r>
      <w:r w:rsidR="009A0AF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</w:t>
      </w:r>
      <w:r w:rsidR="0040079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Covid-19 </w:t>
      </w:r>
      <w:r w:rsidR="004C5DF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krátkodobě očekávat růst obratu a </w:t>
      </w:r>
      <w:r w:rsidR="00577AE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dosažení úrovně před krizí</w:t>
      </w:r>
      <w:r w:rsidR="00A84C4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</w:t>
      </w:r>
    </w:p>
    <w:p w14:paraId="0E077550" w14:textId="77777777" w:rsidR="00577AEC" w:rsidRDefault="00B35A99" w:rsidP="00B35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B35A99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drawing>
          <wp:inline distT="0" distB="0" distL="0" distR="0" wp14:anchorId="0C742C49" wp14:editId="179518DE">
            <wp:extent cx="5760720" cy="38423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B05A" w14:textId="77777777" w:rsidR="00577AEC" w:rsidRDefault="00577AEC" w:rsidP="00B35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</w:p>
    <w:p w14:paraId="04471B7B" w14:textId="495979ED" w:rsidR="00B35A99" w:rsidRPr="00B35A99" w:rsidRDefault="00D2799A" w:rsidP="00B35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Strategie stávajícího portfolia skupiny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se osvědčila</w:t>
      </w:r>
      <w:r w:rsidR="00A84C4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 proto v ní bude skupina i nadále pokračovat –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např. se strojem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Rapida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106 X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–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novým měřítkem výkonnosti v průmyslovém tisku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(2)</w:t>
      </w:r>
    </w:p>
    <w:p w14:paraId="36F5FE46" w14:textId="25FEBCEC" w:rsidR="00B35A99" w:rsidRPr="00B35A99" w:rsidRDefault="0044133E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lastRenderedPageBreak/>
        <w:t xml:space="preserve">Dozorčí rada byla do schvalovacího procesu velmi těsně zapojena a po </w:t>
      </w:r>
      <w:r w:rsidR="007763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detailní poradě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</w:t>
      </w:r>
      <w:r w:rsidR="007763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BB3BD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obsáhlé di</w:t>
      </w:r>
      <w:r w:rsidR="002B064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</w:t>
      </w:r>
      <w:r w:rsidR="00BB3BD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ku</w:t>
      </w:r>
      <w:r w:rsidR="002B064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</w:t>
      </w:r>
      <w:r w:rsidR="00BB3BD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i tento program na svém zasedání dne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28. </w:t>
      </w:r>
      <w:r w:rsidR="00BB3BD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září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2020</w:t>
      </w:r>
      <w:r w:rsidR="00BB3BD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schválila. </w:t>
      </w:r>
    </w:p>
    <w:p w14:paraId="16288CF0" w14:textId="27F2EF45" w:rsidR="00B35A99" w:rsidRPr="00B35A99" w:rsidRDefault="00BB3BD4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Předseda dozorčí rady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Prof. </w:t>
      </w:r>
      <w:proofErr w:type="gram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Dr.-Ing.</w:t>
      </w:r>
      <w:proofErr w:type="gram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Raimund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Klinkner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vysvětluje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: „</w:t>
      </w:r>
      <w:r w:rsidR="005A6C9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Vedle strategického rozvoje skupiny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 </w:t>
      </w:r>
      <w:r w:rsidR="005A6C9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se dozorčí rada </w:t>
      </w:r>
      <w:r w:rsidR="00AF2BE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intenzivně </w:t>
      </w:r>
      <w:r w:rsidR="00BF6C9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zabývala plány</w:t>
      </w:r>
      <w:r w:rsidR="00C34C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AF2BE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</w:t>
      </w:r>
      <w:r w:rsidR="00C34CE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zvýšení operativního výnosu a </w:t>
      </w:r>
      <w:r w:rsidR="001160E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výkonu </w:t>
      </w:r>
      <w:r w:rsidR="00D3265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koncernu, které vypracovalo představenstvo </w:t>
      </w:r>
      <w:r w:rsidR="001F5A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 velkým nasazením </w:t>
      </w:r>
      <w:r w:rsidR="00D3265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 základě hloubkové </w:t>
      </w:r>
      <w:r w:rsidR="001F5AF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analýzy </w:t>
      </w:r>
      <w:r w:rsidR="00745C9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 </w:t>
      </w:r>
      <w:r w:rsidR="00A90B2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vložilo naše zkušenosti a naše know-how do procesu </w:t>
      </w:r>
      <w:r w:rsidR="00594F0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hodnocení.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Program</w:t>
      </w:r>
      <w:r w:rsidR="00D9219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em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Performance 2024 </w:t>
      </w:r>
      <w:r w:rsidR="00D9219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budou </w:t>
      </w:r>
      <w:r w:rsidR="007C1A7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vytvořeny</w:t>
      </w:r>
      <w:r w:rsidR="00D9219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základy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profitab</w:t>
      </w:r>
      <w:r w:rsidR="00D9219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ilního rozvoje podniku se zajímavými </w:t>
      </w:r>
      <w:r w:rsidR="007C1A7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perspektivami do budoucnosti pro nové trhy a technologie.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“</w:t>
      </w:r>
    </w:p>
    <w:p w14:paraId="2CB38DEF" w14:textId="0C472816" w:rsidR="00B35A99" w:rsidRPr="00B35A99" w:rsidRDefault="007C1A71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Krátkodobá a střednědobá opatření budou </w:t>
      </w:r>
      <w:r w:rsidR="005A737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probíhat</w:t>
      </w:r>
      <w:r w:rsidR="005A2E1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od roku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2021 </w:t>
      </w:r>
      <w:r w:rsidR="005A2E1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až do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2024, </w:t>
      </w:r>
      <w:r w:rsidR="005A2E1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 </w:t>
      </w:r>
      <w:r w:rsidR="00E5253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rok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2020 </w:t>
      </w:r>
      <w:r w:rsidR="00E5253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se i nadále očekává z důvodu zostřujícího se vývoje pandemie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Covid-19</w:t>
      </w:r>
      <w:r w:rsidR="00E5253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 celosvětovém měřítku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negativ</w:t>
      </w:r>
      <w:r w:rsidR="00E5253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ní dopad na vývoj obchodu ve třetím a čtvrtém čtvrtletí. </w:t>
      </w:r>
      <w:r w:rsidR="00412F4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Navíc </w:t>
      </w:r>
      <w:r w:rsidR="0049675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způsobí</w:t>
      </w:r>
      <w:r w:rsidR="00412F4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zamýšlené zavedení nové, interní směrnice </w:t>
      </w:r>
      <w:r w:rsidR="00A348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pro </w:t>
      </w:r>
      <w:r w:rsidR="007768E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vykazování obratu v </w:t>
      </w:r>
      <w:r w:rsidR="005A737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rozva</w:t>
      </w:r>
      <w:r w:rsidR="007768E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ze pro</w:t>
      </w:r>
      <w:r w:rsidR="00A348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egment </w:t>
      </w:r>
      <w:proofErr w:type="spellStart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Sheetfed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A348B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 roce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2020 </w:t>
      </w:r>
      <w:r w:rsidR="0049675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jednorázové posunutí </w:t>
      </w:r>
      <w:r w:rsidR="00FF03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obratu </w:t>
      </w:r>
      <w:r w:rsidR="006B74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ve výši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</w:t>
      </w:r>
      <w:r w:rsidR="0049675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 40 - 60 </w:t>
      </w:r>
      <w:r w:rsidR="0049675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milionů</w:t>
      </w:r>
      <w:r w:rsidR="00FF03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€ </w:t>
      </w:r>
      <w:r w:rsidR="00FF03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 </w:t>
      </w:r>
      <w:proofErr w:type="spellStart"/>
      <w:r w:rsidR="00FF03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EBITu</w:t>
      </w:r>
      <w:proofErr w:type="spellEnd"/>
      <w:r w:rsidR="00FF03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ve výši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9 - 12 </w:t>
      </w:r>
      <w:r w:rsidR="00FF03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mil.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€ </w:t>
      </w:r>
      <w:r w:rsidR="00E75FF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 rozvaze </w:t>
      </w:r>
      <w:r w:rsidR="00FF03C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do roku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2021.</w:t>
      </w:r>
    </w:p>
    <w:p w14:paraId="7F58CCE2" w14:textId="1384C172" w:rsidR="00B35A99" w:rsidRPr="00B35A99" w:rsidRDefault="00FF03C6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 ukončení programu </w:t>
      </w:r>
      <w:r w:rsidR="009569A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by měl</w:t>
      </w:r>
      <w:r w:rsidR="00A63B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</w:t>
      </w:r>
      <w:r w:rsidR="009569A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A63B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skupina </w:t>
      </w:r>
      <w:r w:rsidR="00A63B3D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Koenig &amp; Bauer</w:t>
      </w:r>
      <w:r w:rsidR="00A63B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96554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dosa</w:t>
      </w:r>
      <w:r w:rsidR="00A63B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hovat úrovně obratu cca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1,3 </w:t>
      </w:r>
      <w:r w:rsidR="00A63B3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miliardy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€. </w:t>
      </w:r>
      <w:r w:rsidR="004828F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 straně výnosu usiluje představenstvo po realizaci schválených úprav v oblasti náklad</w:t>
      </w:r>
      <w:r w:rsidR="00807AD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ů</w:t>
      </w:r>
      <w:r w:rsidR="004828F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 struktury ve střednědobém horizontu i </w:t>
      </w:r>
      <w:r w:rsidR="00AE4A6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nadále o </w:t>
      </w:r>
      <w:r w:rsidR="00EE6FC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výnos minimálně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7 % </w:t>
      </w:r>
      <w:r w:rsidR="00EE6FC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EE6FC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snížení </w:t>
      </w:r>
      <w:r w:rsidR="007B657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potřeby pracovního kapitálu na průměrnou úroveň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25 % </w:t>
      </w:r>
      <w:r w:rsidR="007B657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ročního obratu. </w:t>
      </w:r>
    </w:p>
    <w:p w14:paraId="0CB8E9C0" w14:textId="1BD9B338" w:rsidR="00B35A99" w:rsidRPr="00B35A99" w:rsidRDefault="00531639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Schválený program předpokládá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:</w:t>
      </w:r>
    </w:p>
    <w:p w14:paraId="2CEC10BD" w14:textId="37D053A5" w:rsidR="00B35A99" w:rsidRPr="00B35A99" w:rsidRDefault="005A591C" w:rsidP="00B35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   Změnu </w:t>
      </w:r>
      <w:proofErr w:type="spellStart"/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upply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hain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rgani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zace úpravou </w:t>
      </w:r>
      <w:r w:rsidR="00D5707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truktur</w:t>
      </w:r>
      <w:r w:rsidR="00D5707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procesů nákupu a výroby v organizaci i inovativní </w:t>
      </w:r>
      <w:r w:rsidR="00F8341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přístup k optimalizaci dílů a komponent v rámci celého koncernu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</w:p>
    <w:p w14:paraId="774B0005" w14:textId="4607A2B5" w:rsidR="00B35A99" w:rsidRPr="00B35A99" w:rsidRDefault="00F8341F" w:rsidP="00B35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   </w:t>
      </w:r>
      <w:r w:rsidR="00893E9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Úprav</w:t>
      </w:r>
      <w:r w:rsidR="006B748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</w:t>
      </w:r>
      <w:r w:rsidR="00893E9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stru</w:t>
      </w:r>
      <w:r w:rsidR="008A742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ktur nákladů a perso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</w:t>
      </w:r>
      <w:r w:rsidR="008A742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álu i zlepšení produktivity </w:t>
      </w:r>
      <w:r w:rsidR="00591840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narovnáním procesů a </w:t>
      </w:r>
      <w:r w:rsidR="0051520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standardizac</w:t>
      </w:r>
      <w:r w:rsidR="00CA5F3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í</w:t>
      </w:r>
    </w:p>
    <w:p w14:paraId="134CA619" w14:textId="20C669D0" w:rsidR="00B35A99" w:rsidRPr="00B35A99" w:rsidRDefault="0051520A" w:rsidP="005152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3" w:hanging="393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   </w:t>
      </w:r>
      <w:r w:rsidR="008359B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Růst efektivity a účinnosti ve vývoji a konstrukci </w:t>
      </w:r>
      <w:r w:rsidR="0001568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optimalizacemi p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rodukt</w:t>
      </w:r>
      <w:r w:rsidR="0001568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</w:t>
      </w:r>
      <w:r w:rsidR="0001568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procesu a organizace</w:t>
      </w:r>
      <w:r w:rsidR="0034752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</w:t>
      </w:r>
      <w:r w:rsidR="0001568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jako </w:t>
      </w:r>
      <w:r w:rsidR="0045284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jsou d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esign-to-</w:t>
      </w:r>
      <w:proofErr w:type="spellStart"/>
      <w:r w:rsidR="0045284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ost</w:t>
      </w:r>
      <w:proofErr w:type="spellEnd"/>
      <w:r w:rsidR="0045284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projekty</w:t>
      </w:r>
    </w:p>
    <w:p w14:paraId="7E8CBE4E" w14:textId="792CB8AE" w:rsidR="00B35A99" w:rsidRPr="00B35A99" w:rsidRDefault="00452846" w:rsidP="00452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Pokr</w:t>
      </w:r>
      <w:r w:rsidR="008602C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čování a urychlení vývoje nových produktů pro </w:t>
      </w:r>
      <w:r w:rsidR="00AF117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oblasti archového a kotoučového tisku </w:t>
      </w:r>
      <w:r w:rsidR="00FA146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technologií </w:t>
      </w:r>
      <w:r w:rsidR="009672E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analogov</w:t>
      </w:r>
      <w:r w:rsidR="008E41F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ého</w:t>
      </w:r>
      <w:r w:rsidR="009672E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 digitální</w:t>
      </w:r>
      <w:r w:rsidR="008E41F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ho tisku, potisk dutých před</w:t>
      </w:r>
      <w:r w:rsidR="009672E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m</w:t>
      </w:r>
      <w:r w:rsidR="008E41F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ětů, další zpracování a </w:t>
      </w:r>
      <w:r w:rsidR="007052B1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řešení pro výrobu bankovek</w:t>
      </w:r>
    </w:p>
    <w:p w14:paraId="786DC37F" w14:textId="05221F45" w:rsidR="00B35A99" w:rsidRPr="00B35A99" w:rsidRDefault="007052B1" w:rsidP="00B35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   Snížení nákladů administrace s</w:t>
      </w:r>
      <w:r w:rsidR="001F7B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</w:t>
      </w:r>
      <w:r w:rsidR="001F7B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alšími úkoly jako </w:t>
      </w:r>
      <w:proofErr w:type="spellStart"/>
      <w:r w:rsidR="001F7B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hared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="001F7B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ervices</w:t>
      </w:r>
      <w:proofErr w:type="spellEnd"/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</w:t>
      </w:r>
      <w:r w:rsidR="001F7B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úprava struktur prodeje a servisu</w:t>
      </w:r>
    </w:p>
    <w:p w14:paraId="25F1E76F" w14:textId="6DD136A5" w:rsidR="00B35A99" w:rsidRPr="00B35A99" w:rsidRDefault="001F7BC7" w:rsidP="00B35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 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Optim</w:t>
      </w:r>
      <w:r w:rsidR="00F0148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alizace výrobní</w:t>
      </w:r>
      <w:r w:rsidR="008602CE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ch</w:t>
      </w:r>
      <w:r w:rsidR="00F0148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 montážních závodů </w:t>
      </w:r>
      <w:r w:rsidR="00E23B9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využitím</w:t>
      </w:r>
      <w:r w:rsidR="00F0148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E23B9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vazeb</w:t>
      </w:r>
      <w:r w:rsidR="009026B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 přemístění</w:t>
      </w:r>
      <w:r w:rsidR="00E23B9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m</w:t>
      </w:r>
      <w:r w:rsidR="009026B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a </w:t>
      </w:r>
      <w:r w:rsidR="00C8266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novou orientac</w:t>
      </w:r>
      <w:r w:rsidR="00E23B9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í </w:t>
      </w:r>
      <w:r w:rsidR="00C8266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výroby a montáže.</w:t>
      </w:r>
    </w:p>
    <w:p w14:paraId="4C485062" w14:textId="00512B23" w:rsidR="00B35A99" w:rsidRPr="00B35A99" w:rsidRDefault="00B35A99" w:rsidP="00B35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B35A99">
        <w:rPr>
          <w:rFonts w:ascii="Arial" w:eastAsia="Times New Roman" w:hAnsi="Arial" w:cs="Arial"/>
          <w:noProof/>
          <w:color w:val="0A0F0A"/>
          <w:sz w:val="24"/>
          <w:szCs w:val="24"/>
          <w:lang w:eastAsia="cs-CZ"/>
        </w:rPr>
        <w:lastRenderedPageBreak/>
        <w:drawing>
          <wp:inline distT="0" distB="0" distL="0" distR="0" wp14:anchorId="5FD39953" wp14:editId="5AE7EC43">
            <wp:extent cx="5760720" cy="38423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E1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 technologických a zákaznických centrech </w:t>
      </w:r>
      <w:r w:rsidR="00AD241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bude důsledně </w:t>
      </w:r>
      <w:r w:rsidR="008661F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rozvíjen program </w:t>
      </w:r>
      <w:r w:rsidR="0040326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výroby strojů pro oslovení nových trhů a vytvoření budoucích perspektiv 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(3)</w:t>
      </w:r>
    </w:p>
    <w:p w14:paraId="0D40AF40" w14:textId="74AF32B4" w:rsidR="00B35A99" w:rsidRPr="00B35A99" w:rsidRDefault="00D41E90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Navíc k již běžícím opatřením</w:t>
      </w:r>
      <w:r w:rsidR="00E75FF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2F2A8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 nimž patří</w:t>
      </w:r>
      <w:r w:rsidR="00E75FF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odstranění práce </w:t>
      </w:r>
      <w:r w:rsidR="00E4645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přesčas a </w:t>
      </w:r>
      <w:r w:rsidR="0050054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využívání</w:t>
      </w:r>
      <w:r w:rsidR="00E4645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50054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prac</w:t>
      </w:r>
      <w:r w:rsidR="00B172B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ovních agentur</w:t>
      </w:r>
      <w:r w:rsidR="00E4645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, zastavení příjmu nových pracovníků a </w:t>
      </w:r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„</w:t>
      </w:r>
      <w:proofErr w:type="spellStart"/>
      <w:r w:rsidR="00E4645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urzarbeit</w:t>
      </w:r>
      <w:proofErr w:type="spellEnd"/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“</w:t>
      </w:r>
      <w:r w:rsidR="002F2A8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,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r w:rsidR="002F2A84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bude podle</w:t>
      </w:r>
      <w:r w:rsidR="00E46452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dnes schválených opatření </w:t>
      </w:r>
      <w:r w:rsidR="00506A5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 koncernu v krátkodobém a střednědobém horizontu dotčeno 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700 </w:t>
      </w:r>
      <w:r w:rsidR="00506A5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až</w:t>
      </w:r>
      <w:r w:rsidR="00B35A99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900 </w:t>
      </w:r>
      <w:r w:rsidR="00506A5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pracovních míst. Úpravy budou </w:t>
      </w:r>
      <w:r w:rsidR="00A7608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 příštích měsících projednány a dohodnuty společně se zastoupeními zaměstnanců a sociálními partnery. </w:t>
      </w:r>
      <w:r w:rsidR="0027138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Vedle potřebného a sociálně únosného snížení je cílem dosáhnout inovativní cestou </w:t>
      </w:r>
      <w:r w:rsidR="00924D4D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střednědobého návratu k plánovanému růstu koncernu.</w:t>
      </w:r>
    </w:p>
    <w:p w14:paraId="058FD018" w14:textId="541ED7FF" w:rsidR="00B35A99" w:rsidRPr="00B35A99" w:rsidRDefault="00B35A99" w:rsidP="00B35A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F0A"/>
          <w:sz w:val="24"/>
          <w:szCs w:val="24"/>
          <w:lang w:eastAsia="cs-CZ"/>
        </w:rPr>
      </w:pP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„</w:t>
      </w:r>
      <w:r w:rsidR="00346D7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Dnes jsme učinili </w:t>
      </w:r>
      <w:r w:rsidR="005C529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dalekosáhlá rozhodnutí pro skupinu 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Koenig &amp; Bauer, </w:t>
      </w:r>
      <w:r w:rsidR="005C529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která jsou nutná z důvodu celo</w:t>
      </w:r>
      <w:r w:rsidR="00C1686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světových </w:t>
      </w:r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n</w:t>
      </w:r>
      <w:r w:rsidR="00982DC7"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egativ</w:t>
      </w:r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ních </w:t>
      </w:r>
      <w:r w:rsidR="00C1686F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hospodářských změn i </w:t>
      </w:r>
      <w:r w:rsidR="00D0431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měnících se </w:t>
      </w:r>
      <w:r w:rsidR="00836235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potřeb zákazníků. Jsou však také spojena s bolestivými </w:t>
      </w:r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důsledky</w:t>
      </w:r>
      <w:r w:rsidR="00A71C7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pro zaměstnance. </w:t>
      </w:r>
      <w:r w:rsidR="00EE5A38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Tento </w:t>
      </w:r>
      <w:r w:rsidR="002F4D4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obtížný krok pro nás </w:t>
      </w:r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není </w:t>
      </w:r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vůbec </w:t>
      </w:r>
      <w:r w:rsidR="002F4D43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lehký, ale je pro dlouhodobé </w:t>
      </w:r>
      <w:r w:rsidR="000967AC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zajištění budoucnosti </w:t>
      </w:r>
      <w:r w:rsidR="0073260A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našeho podniku existujícího více než </w:t>
      </w:r>
      <w:r w:rsidR="0004020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203 let, nezbytn</w:t>
      </w:r>
      <w:r w:rsidR="00982DC7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ý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“, </w:t>
      </w:r>
      <w:r w:rsidR="00040206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podtrhl předseda představenstva</w:t>
      </w:r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Claus</w:t>
      </w:r>
      <w:proofErr w:type="spellEnd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 xml:space="preserve"> </w:t>
      </w:r>
      <w:proofErr w:type="spellStart"/>
      <w:r w:rsidRPr="00B35A99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Bolza-Schünemann</w:t>
      </w:r>
      <w:proofErr w:type="spellEnd"/>
      <w:r w:rsidR="001B288B">
        <w:rPr>
          <w:rFonts w:ascii="Arial" w:eastAsia="Times New Roman" w:hAnsi="Arial" w:cs="Arial"/>
          <w:color w:val="0A0F0A"/>
          <w:sz w:val="24"/>
          <w:szCs w:val="24"/>
          <w:lang w:eastAsia="cs-CZ"/>
        </w:rPr>
        <w:t>.</w:t>
      </w:r>
    </w:p>
    <w:p w14:paraId="50C2C052" w14:textId="77777777" w:rsidR="005B471C" w:rsidRDefault="005B471C"/>
    <w:sectPr w:rsidR="005B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nev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5F4"/>
    <w:multiLevelType w:val="multilevel"/>
    <w:tmpl w:val="846E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34F18"/>
    <w:multiLevelType w:val="multilevel"/>
    <w:tmpl w:val="129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24124"/>
    <w:multiLevelType w:val="multilevel"/>
    <w:tmpl w:val="9E8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9003E"/>
    <w:multiLevelType w:val="hybridMultilevel"/>
    <w:tmpl w:val="EAE4D198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99"/>
    <w:rsid w:val="0001568B"/>
    <w:rsid w:val="00016A90"/>
    <w:rsid w:val="00037FBD"/>
    <w:rsid w:val="00040206"/>
    <w:rsid w:val="00090306"/>
    <w:rsid w:val="00093E14"/>
    <w:rsid w:val="00095B09"/>
    <w:rsid w:val="000967AC"/>
    <w:rsid w:val="000A07C1"/>
    <w:rsid w:val="000D5BAF"/>
    <w:rsid w:val="000D5F46"/>
    <w:rsid w:val="000F6E22"/>
    <w:rsid w:val="00103DA2"/>
    <w:rsid w:val="001160EE"/>
    <w:rsid w:val="00160394"/>
    <w:rsid w:val="00171D44"/>
    <w:rsid w:val="001907A6"/>
    <w:rsid w:val="001A3AFA"/>
    <w:rsid w:val="001A56EE"/>
    <w:rsid w:val="001B288B"/>
    <w:rsid w:val="001B550A"/>
    <w:rsid w:val="001E2102"/>
    <w:rsid w:val="001F5AFA"/>
    <w:rsid w:val="001F7BC7"/>
    <w:rsid w:val="00222710"/>
    <w:rsid w:val="002362B0"/>
    <w:rsid w:val="002621A8"/>
    <w:rsid w:val="0027138D"/>
    <w:rsid w:val="00273A1B"/>
    <w:rsid w:val="002A178A"/>
    <w:rsid w:val="002B0645"/>
    <w:rsid w:val="002B5572"/>
    <w:rsid w:val="002E42DA"/>
    <w:rsid w:val="002F2A84"/>
    <w:rsid w:val="002F4D43"/>
    <w:rsid w:val="00346D7F"/>
    <w:rsid w:val="00347527"/>
    <w:rsid w:val="00356F71"/>
    <w:rsid w:val="00362EDE"/>
    <w:rsid w:val="00381CCF"/>
    <w:rsid w:val="00382D94"/>
    <w:rsid w:val="00394A18"/>
    <w:rsid w:val="003D159E"/>
    <w:rsid w:val="003F30C5"/>
    <w:rsid w:val="00400798"/>
    <w:rsid w:val="0040326B"/>
    <w:rsid w:val="00403357"/>
    <w:rsid w:val="00412F4F"/>
    <w:rsid w:val="0044133E"/>
    <w:rsid w:val="00452846"/>
    <w:rsid w:val="00463F99"/>
    <w:rsid w:val="004828FE"/>
    <w:rsid w:val="00496754"/>
    <w:rsid w:val="004A46E7"/>
    <w:rsid w:val="004C5DF6"/>
    <w:rsid w:val="0050054F"/>
    <w:rsid w:val="00506A56"/>
    <w:rsid w:val="0051520A"/>
    <w:rsid w:val="0051557C"/>
    <w:rsid w:val="00523CB4"/>
    <w:rsid w:val="00531639"/>
    <w:rsid w:val="00534348"/>
    <w:rsid w:val="005441FA"/>
    <w:rsid w:val="00577AEC"/>
    <w:rsid w:val="00591840"/>
    <w:rsid w:val="00593227"/>
    <w:rsid w:val="00594F03"/>
    <w:rsid w:val="005A2E19"/>
    <w:rsid w:val="005A591C"/>
    <w:rsid w:val="005A6C9A"/>
    <w:rsid w:val="005A7373"/>
    <w:rsid w:val="005B2DF3"/>
    <w:rsid w:val="005B471C"/>
    <w:rsid w:val="005C5293"/>
    <w:rsid w:val="005D04D8"/>
    <w:rsid w:val="005D2AB0"/>
    <w:rsid w:val="005F1394"/>
    <w:rsid w:val="0060162F"/>
    <w:rsid w:val="006864FD"/>
    <w:rsid w:val="006B7481"/>
    <w:rsid w:val="006B7FE5"/>
    <w:rsid w:val="006E05E9"/>
    <w:rsid w:val="007052B1"/>
    <w:rsid w:val="00716203"/>
    <w:rsid w:val="00722A0F"/>
    <w:rsid w:val="0073260A"/>
    <w:rsid w:val="00745C9E"/>
    <w:rsid w:val="00764ABE"/>
    <w:rsid w:val="007763E2"/>
    <w:rsid w:val="007768EF"/>
    <w:rsid w:val="00791CAF"/>
    <w:rsid w:val="00793CE2"/>
    <w:rsid w:val="007A475B"/>
    <w:rsid w:val="007B6574"/>
    <w:rsid w:val="007C1A71"/>
    <w:rsid w:val="007F175F"/>
    <w:rsid w:val="00801BAE"/>
    <w:rsid w:val="0080553B"/>
    <w:rsid w:val="00807ADA"/>
    <w:rsid w:val="00821274"/>
    <w:rsid w:val="008359BE"/>
    <w:rsid w:val="00836169"/>
    <w:rsid w:val="00836235"/>
    <w:rsid w:val="008374B8"/>
    <w:rsid w:val="008602CE"/>
    <w:rsid w:val="0086344B"/>
    <w:rsid w:val="008661FC"/>
    <w:rsid w:val="00893E94"/>
    <w:rsid w:val="008A7428"/>
    <w:rsid w:val="008E3A0B"/>
    <w:rsid w:val="008E41F5"/>
    <w:rsid w:val="009026BA"/>
    <w:rsid w:val="009210BE"/>
    <w:rsid w:val="00924D4D"/>
    <w:rsid w:val="00933558"/>
    <w:rsid w:val="00941FA4"/>
    <w:rsid w:val="009569A1"/>
    <w:rsid w:val="00965544"/>
    <w:rsid w:val="009672E4"/>
    <w:rsid w:val="0097643D"/>
    <w:rsid w:val="00982DC7"/>
    <w:rsid w:val="009A070D"/>
    <w:rsid w:val="009A0AF9"/>
    <w:rsid w:val="009B1F30"/>
    <w:rsid w:val="009C7685"/>
    <w:rsid w:val="009E2B39"/>
    <w:rsid w:val="009F1615"/>
    <w:rsid w:val="009F5544"/>
    <w:rsid w:val="00A00CEC"/>
    <w:rsid w:val="00A1159E"/>
    <w:rsid w:val="00A323AA"/>
    <w:rsid w:val="00A348B0"/>
    <w:rsid w:val="00A63B3D"/>
    <w:rsid w:val="00A71C77"/>
    <w:rsid w:val="00A7608B"/>
    <w:rsid w:val="00A8390A"/>
    <w:rsid w:val="00A84C40"/>
    <w:rsid w:val="00A90B21"/>
    <w:rsid w:val="00AB5563"/>
    <w:rsid w:val="00AC0915"/>
    <w:rsid w:val="00AD03BE"/>
    <w:rsid w:val="00AD2413"/>
    <w:rsid w:val="00AE4A65"/>
    <w:rsid w:val="00AE5395"/>
    <w:rsid w:val="00AF117E"/>
    <w:rsid w:val="00AF2BEF"/>
    <w:rsid w:val="00B023ED"/>
    <w:rsid w:val="00B07BBB"/>
    <w:rsid w:val="00B1344C"/>
    <w:rsid w:val="00B172B3"/>
    <w:rsid w:val="00B35A99"/>
    <w:rsid w:val="00B60470"/>
    <w:rsid w:val="00BA5D08"/>
    <w:rsid w:val="00BB1EC7"/>
    <w:rsid w:val="00BB395D"/>
    <w:rsid w:val="00BB3BD4"/>
    <w:rsid w:val="00BC3DB5"/>
    <w:rsid w:val="00BD402E"/>
    <w:rsid w:val="00BF6C93"/>
    <w:rsid w:val="00C1686F"/>
    <w:rsid w:val="00C17582"/>
    <w:rsid w:val="00C2603B"/>
    <w:rsid w:val="00C328A9"/>
    <w:rsid w:val="00C34CE2"/>
    <w:rsid w:val="00C374B0"/>
    <w:rsid w:val="00C52C8F"/>
    <w:rsid w:val="00C82665"/>
    <w:rsid w:val="00CA5F39"/>
    <w:rsid w:val="00CB130D"/>
    <w:rsid w:val="00D0385F"/>
    <w:rsid w:val="00D04313"/>
    <w:rsid w:val="00D154FD"/>
    <w:rsid w:val="00D25E04"/>
    <w:rsid w:val="00D2799A"/>
    <w:rsid w:val="00D27D24"/>
    <w:rsid w:val="00D32658"/>
    <w:rsid w:val="00D41E90"/>
    <w:rsid w:val="00D46BEB"/>
    <w:rsid w:val="00D5707A"/>
    <w:rsid w:val="00D73E9C"/>
    <w:rsid w:val="00D9219F"/>
    <w:rsid w:val="00DC069E"/>
    <w:rsid w:val="00E0767A"/>
    <w:rsid w:val="00E1653B"/>
    <w:rsid w:val="00E23B9B"/>
    <w:rsid w:val="00E26D3C"/>
    <w:rsid w:val="00E46452"/>
    <w:rsid w:val="00E52532"/>
    <w:rsid w:val="00E60A81"/>
    <w:rsid w:val="00E75FF3"/>
    <w:rsid w:val="00E97147"/>
    <w:rsid w:val="00EE5A38"/>
    <w:rsid w:val="00EE6FC3"/>
    <w:rsid w:val="00F01486"/>
    <w:rsid w:val="00F12787"/>
    <w:rsid w:val="00F12A1D"/>
    <w:rsid w:val="00F64D7B"/>
    <w:rsid w:val="00F76341"/>
    <w:rsid w:val="00F81874"/>
    <w:rsid w:val="00F8221E"/>
    <w:rsid w:val="00F8341F"/>
    <w:rsid w:val="00FA146D"/>
    <w:rsid w:val="00FB2EC4"/>
    <w:rsid w:val="00FB6995"/>
    <w:rsid w:val="00FE3480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6303"/>
  <w15:chartTrackingRefBased/>
  <w15:docId w15:val="{9F63DCAA-2A51-46F6-97FE-F60E1EA4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5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5A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hariff-button">
    <w:name w:val="shariff-button"/>
    <w:basedOn w:val="Normln"/>
    <w:rsid w:val="00B3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aretext">
    <w:name w:val="share_text"/>
    <w:basedOn w:val="Standardnpsmoodstavce"/>
    <w:rsid w:val="00B35A99"/>
  </w:style>
  <w:style w:type="character" w:styleId="Siln">
    <w:name w:val="Strong"/>
    <w:basedOn w:val="Standardnpsmoodstavce"/>
    <w:uiPriority w:val="22"/>
    <w:qFormat/>
    <w:rsid w:val="00B35A9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Stanislav Vaníček</cp:lastModifiedBy>
  <cp:revision>5</cp:revision>
  <cp:lastPrinted>2020-10-04T16:13:00Z</cp:lastPrinted>
  <dcterms:created xsi:type="dcterms:W3CDTF">2020-10-04T16:25:00Z</dcterms:created>
  <dcterms:modified xsi:type="dcterms:W3CDTF">2020-10-08T15:36:00Z</dcterms:modified>
</cp:coreProperties>
</file>