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DE3622" w:rsidRDefault="004F0C68" w:rsidP="00780DE4">
      <w:pPr>
        <w:pStyle w:val="Nzev"/>
        <w:spacing w:before="0" w:afterLines="200" w:after="480"/>
        <w:rPr>
          <w:lang w:val="cs-CZ"/>
        </w:rPr>
      </w:pPr>
      <w:r w:rsidRPr="00DE3622">
        <w:rPr>
          <w:lang w:val="cs-CZ"/>
        </w:rPr>
        <w:t>Tisková zpráva</w:t>
      </w:r>
    </w:p>
    <w:p w:rsidR="00BC4F56" w:rsidRPr="00DE3622" w:rsidRDefault="004F0C68" w:rsidP="00780DE4">
      <w:pPr>
        <w:pStyle w:val="Nadpis2"/>
        <w:spacing w:after="0"/>
        <w:rPr>
          <w:lang w:val="cs-CZ"/>
        </w:rPr>
      </w:pPr>
      <w:r w:rsidRPr="00DE3622">
        <w:rPr>
          <w:lang w:val="cs-CZ"/>
        </w:rPr>
        <w:t xml:space="preserve">Společnost </w:t>
      </w:r>
      <w:r w:rsidR="007E2163" w:rsidRPr="00DE3622">
        <w:rPr>
          <w:lang w:val="cs-CZ"/>
        </w:rPr>
        <w:t>Koenig &amp; Bauer</w:t>
      </w:r>
      <w:r w:rsidR="00AD1C4B" w:rsidRPr="00DE3622">
        <w:rPr>
          <w:lang w:val="cs-CZ"/>
        </w:rPr>
        <w:t xml:space="preserve"> </w:t>
      </w:r>
      <w:r w:rsidR="00C40AE2" w:rsidRPr="00DE3622">
        <w:rPr>
          <w:lang w:val="cs-CZ"/>
        </w:rPr>
        <w:t>dosahuje výrazného pokroku ve strategických projektech pro trvale udržitelný zisk</w:t>
      </w:r>
      <w:r w:rsidR="00DE3622" w:rsidRPr="00DE3622">
        <w:rPr>
          <w:lang w:val="cs-CZ"/>
        </w:rPr>
        <w:t>ový růst</w:t>
      </w:r>
    </w:p>
    <w:p w:rsidR="00BC4F56" w:rsidRPr="00DE3622" w:rsidRDefault="00BC4F56" w:rsidP="00BC4F56">
      <w:pPr>
        <w:spacing w:after="240"/>
        <w:rPr>
          <w:lang w:val="cs-CZ"/>
        </w:rPr>
      </w:pPr>
    </w:p>
    <w:p w:rsidR="00BC4F56" w:rsidRPr="00DE3622" w:rsidRDefault="00C40AE2" w:rsidP="00BC4F56">
      <w:pPr>
        <w:pStyle w:val="Podtitul"/>
        <w:spacing w:after="240"/>
        <w:rPr>
          <w:szCs w:val="24"/>
          <w:lang w:val="cs-CZ"/>
        </w:rPr>
      </w:pPr>
      <w:r w:rsidRPr="00DE3622">
        <w:rPr>
          <w:szCs w:val="24"/>
          <w:lang w:val="cs-CZ"/>
        </w:rPr>
        <w:t>Cíle koncernu</w:t>
      </w:r>
      <w:r w:rsidR="00AD1C4B" w:rsidRPr="00DE3622">
        <w:rPr>
          <w:szCs w:val="24"/>
          <w:lang w:val="cs-CZ"/>
        </w:rPr>
        <w:t xml:space="preserve"> </w:t>
      </w:r>
      <w:r w:rsidR="003B706C">
        <w:rPr>
          <w:szCs w:val="24"/>
          <w:lang w:val="cs-CZ"/>
        </w:rPr>
        <w:t xml:space="preserve">Koenig &amp; Bauer pro </w:t>
      </w:r>
      <w:r w:rsidR="00AD1C4B" w:rsidRPr="00DE3622">
        <w:rPr>
          <w:szCs w:val="24"/>
          <w:lang w:val="cs-CZ"/>
        </w:rPr>
        <w:t xml:space="preserve">2019 </w:t>
      </w:r>
      <w:r w:rsidRPr="00DE3622">
        <w:rPr>
          <w:szCs w:val="24"/>
          <w:lang w:val="cs-CZ"/>
        </w:rPr>
        <w:t>potvrzeny</w:t>
      </w:r>
    </w:p>
    <w:p w:rsidR="00A44634" w:rsidRPr="00DE3622" w:rsidRDefault="00C40AE2" w:rsidP="00A44634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>Dobré rozložení zakázek a vysoké vytížení kapacity</w:t>
      </w:r>
    </w:p>
    <w:p w:rsidR="00A44634" w:rsidRPr="00DE3622" w:rsidRDefault="00C40AE2" w:rsidP="00E52883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 xml:space="preserve">Obrat díky </w:t>
      </w:r>
      <w:r w:rsidR="00130939">
        <w:rPr>
          <w:lang w:val="cs-CZ"/>
        </w:rPr>
        <w:t>zatížení</w:t>
      </w:r>
      <w:r w:rsidRPr="00DE3622">
        <w:rPr>
          <w:lang w:val="cs-CZ"/>
        </w:rPr>
        <w:t xml:space="preserve"> expedice v</w:t>
      </w:r>
      <w:r w:rsidR="007152CC" w:rsidRPr="00DE3622">
        <w:rPr>
          <w:lang w:val="cs-CZ"/>
        </w:rPr>
        <w:t xml:space="preserve"> </w:t>
      </w:r>
      <w:r w:rsidR="00DE3622" w:rsidRPr="00DE3622">
        <w:rPr>
          <w:lang w:val="cs-CZ"/>
        </w:rPr>
        <w:t>2. pololetí</w:t>
      </w:r>
      <w:r w:rsidR="007152CC" w:rsidRPr="00DE3622">
        <w:rPr>
          <w:lang w:val="cs-CZ"/>
        </w:rPr>
        <w:t xml:space="preserve"> </w:t>
      </w:r>
      <w:r w:rsidRPr="00DE3622">
        <w:rPr>
          <w:lang w:val="cs-CZ"/>
        </w:rPr>
        <w:t>stále mírně pod úrovní předchozího roku</w:t>
      </w:r>
    </w:p>
    <w:p w:rsidR="00A44634" w:rsidRPr="00DE3622" w:rsidRDefault="00C40AE2" w:rsidP="00A44634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 xml:space="preserve">Výsledek </w:t>
      </w:r>
      <w:r w:rsidR="00DE3622" w:rsidRPr="00DE3622">
        <w:rPr>
          <w:lang w:val="cs-CZ"/>
        </w:rPr>
        <w:t>1. pololetí</w:t>
      </w:r>
      <w:r w:rsidRPr="00DE3622">
        <w:rPr>
          <w:lang w:val="cs-CZ"/>
        </w:rPr>
        <w:t xml:space="preserve"> ovlivněn </w:t>
      </w:r>
      <w:r w:rsidR="001B318C">
        <w:rPr>
          <w:lang w:val="cs-CZ"/>
        </w:rPr>
        <w:t xml:space="preserve">náklady na </w:t>
      </w:r>
      <w:r w:rsidRPr="00DE3622">
        <w:rPr>
          <w:lang w:val="cs-CZ"/>
        </w:rPr>
        <w:t>uvádění na trh a výdaji na podporu růstu</w:t>
      </w:r>
    </w:p>
    <w:p w:rsidR="00E52883" w:rsidRPr="00DE3622" w:rsidRDefault="00C40AE2" w:rsidP="00A44634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>Peněžní tok dočasně zatížen nárůstem obratu v</w:t>
      </w:r>
      <w:r w:rsidR="001B318C">
        <w:rPr>
          <w:lang w:val="cs-CZ"/>
        </w:rPr>
        <w:t> druhém pololetí</w:t>
      </w:r>
      <w:r w:rsidR="0075319B" w:rsidRPr="00DE3622">
        <w:rPr>
          <w:lang w:val="cs-CZ"/>
        </w:rPr>
        <w:t xml:space="preserve"> </w:t>
      </w:r>
      <w:r w:rsidRPr="00DE3622">
        <w:rPr>
          <w:lang w:val="cs-CZ"/>
        </w:rPr>
        <w:t>a vysokými investicemi do budoucna</w:t>
      </w:r>
    </w:p>
    <w:p w:rsidR="00A44634" w:rsidRPr="00DE3622" w:rsidRDefault="00DE3622" w:rsidP="00A44634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 xml:space="preserve">Podíl vlastního kapitálu </w:t>
      </w:r>
      <w:r w:rsidR="00C905B6" w:rsidRPr="00DE3622">
        <w:rPr>
          <w:lang w:val="cs-CZ"/>
        </w:rPr>
        <w:t>3</w:t>
      </w:r>
      <w:r w:rsidR="00B4385D" w:rsidRPr="00DE3622">
        <w:rPr>
          <w:lang w:val="cs-CZ"/>
        </w:rPr>
        <w:t>3</w:t>
      </w:r>
      <w:r w:rsidR="00C905B6" w:rsidRPr="00DE3622">
        <w:rPr>
          <w:lang w:val="cs-CZ"/>
        </w:rPr>
        <w:t>,</w:t>
      </w:r>
      <w:r w:rsidR="00B4385D" w:rsidRPr="00DE3622">
        <w:rPr>
          <w:lang w:val="cs-CZ"/>
        </w:rPr>
        <w:t>8</w:t>
      </w:r>
      <w:r w:rsidR="00C905B6" w:rsidRPr="00DE3622">
        <w:rPr>
          <w:lang w:val="cs-CZ"/>
        </w:rPr>
        <w:t xml:space="preserve"> % </w:t>
      </w:r>
    </w:p>
    <w:p w:rsidR="00584EAD" w:rsidRPr="00DE3622" w:rsidRDefault="00DE3622" w:rsidP="00A44634">
      <w:pPr>
        <w:pStyle w:val="Aufzhlung"/>
        <w:spacing w:after="240"/>
        <w:rPr>
          <w:lang w:val="cs-CZ"/>
        </w:rPr>
      </w:pPr>
      <w:r w:rsidRPr="00DE3622">
        <w:rPr>
          <w:lang w:val="cs-CZ"/>
        </w:rPr>
        <w:t>Cíle koncernu</w:t>
      </w:r>
      <w:r w:rsidR="00975E61" w:rsidRPr="00DE3622">
        <w:rPr>
          <w:lang w:val="cs-CZ"/>
        </w:rPr>
        <w:t xml:space="preserve"> 2019: </w:t>
      </w:r>
      <w:r w:rsidR="00CC57C9" w:rsidRPr="00DE3622">
        <w:rPr>
          <w:lang w:val="cs-CZ"/>
        </w:rPr>
        <w:t>organi</w:t>
      </w:r>
      <w:r w:rsidRPr="00DE3622">
        <w:rPr>
          <w:lang w:val="cs-CZ"/>
        </w:rPr>
        <w:t>cký nárůst obratu cca</w:t>
      </w:r>
      <w:r w:rsidR="00975E61" w:rsidRPr="00DE3622">
        <w:rPr>
          <w:lang w:val="cs-CZ"/>
        </w:rPr>
        <w:t xml:space="preserve"> 4 % </w:t>
      </w:r>
      <w:r w:rsidRPr="00DE3622">
        <w:rPr>
          <w:lang w:val="cs-CZ"/>
        </w:rPr>
        <w:t>a</w:t>
      </w:r>
      <w:r w:rsidR="00975E61" w:rsidRPr="00DE3622">
        <w:rPr>
          <w:lang w:val="cs-CZ"/>
        </w:rPr>
        <w:t xml:space="preserve"> </w:t>
      </w:r>
      <w:r w:rsidRPr="00DE3622">
        <w:rPr>
          <w:lang w:val="cs-CZ"/>
        </w:rPr>
        <w:t xml:space="preserve">marže </w:t>
      </w:r>
      <w:r w:rsidR="006A0BDA">
        <w:rPr>
          <w:lang w:val="cs-CZ"/>
        </w:rPr>
        <w:t xml:space="preserve">provozního zisku </w:t>
      </w:r>
      <w:r w:rsidRPr="00DE3622">
        <w:rPr>
          <w:lang w:val="cs-CZ"/>
        </w:rPr>
        <w:t>kolem</w:t>
      </w:r>
      <w:r w:rsidR="00975E61" w:rsidRPr="00DE3622">
        <w:rPr>
          <w:lang w:val="cs-CZ"/>
        </w:rPr>
        <w:t xml:space="preserve"> 6 %</w:t>
      </w:r>
    </w:p>
    <w:p w:rsidR="004027A4" w:rsidRPr="00DB58AD" w:rsidRDefault="00A44634" w:rsidP="009D06B5">
      <w:pPr>
        <w:spacing w:after="240"/>
        <w:ind w:right="-2"/>
        <w:rPr>
          <w:lang w:val="cs-CZ"/>
        </w:rPr>
      </w:pPr>
      <w:r w:rsidRPr="00DB58AD">
        <w:rPr>
          <w:lang w:val="cs-CZ"/>
        </w:rPr>
        <w:t>Würzburg</w:t>
      </w:r>
      <w:r w:rsidR="00584EAD" w:rsidRPr="00DB58AD">
        <w:rPr>
          <w:lang w:val="cs-CZ"/>
        </w:rPr>
        <w:t xml:space="preserve">, </w:t>
      </w:r>
      <w:r w:rsidR="00753E7D" w:rsidRPr="00DB58AD">
        <w:rPr>
          <w:lang w:val="cs-CZ"/>
        </w:rPr>
        <w:t>1</w:t>
      </w:r>
      <w:r w:rsidRPr="00DB58AD">
        <w:rPr>
          <w:lang w:val="cs-CZ"/>
        </w:rPr>
        <w:t xml:space="preserve">. </w:t>
      </w:r>
      <w:r w:rsidR="00DE3622" w:rsidRPr="00DB58AD">
        <w:rPr>
          <w:lang w:val="cs-CZ"/>
        </w:rPr>
        <w:t>srpna</w:t>
      </w:r>
      <w:r w:rsidRPr="00DB58AD">
        <w:rPr>
          <w:lang w:val="cs-CZ"/>
        </w:rPr>
        <w:t xml:space="preserve"> 2019</w:t>
      </w:r>
      <w:r w:rsidR="00584EAD" w:rsidRPr="00DB58AD">
        <w:rPr>
          <w:lang w:val="cs-CZ"/>
        </w:rPr>
        <w:br/>
      </w:r>
      <w:r w:rsidR="00DE3622" w:rsidRPr="00DB58AD">
        <w:rPr>
          <w:bCs/>
          <w:lang w:val="cs-CZ"/>
        </w:rPr>
        <w:t>V první</w:t>
      </w:r>
      <w:r w:rsidR="00130939">
        <w:rPr>
          <w:bCs/>
          <w:lang w:val="cs-CZ"/>
        </w:rPr>
        <w:t>m</w:t>
      </w:r>
      <w:r w:rsidR="00DE3622" w:rsidRPr="00DB58AD">
        <w:rPr>
          <w:bCs/>
          <w:lang w:val="cs-CZ"/>
        </w:rPr>
        <w:t xml:space="preserve"> pololetí roku</w:t>
      </w:r>
      <w:r w:rsidR="00CE56BD" w:rsidRPr="00DB58AD">
        <w:rPr>
          <w:bCs/>
          <w:lang w:val="cs-CZ"/>
        </w:rPr>
        <w:t xml:space="preserve"> 2019 </w:t>
      </w:r>
      <w:r w:rsidR="00DE3622" w:rsidRPr="00DB58AD">
        <w:rPr>
          <w:bCs/>
          <w:lang w:val="cs-CZ"/>
        </w:rPr>
        <w:t xml:space="preserve">zaznamenala skupina </w:t>
      </w:r>
      <w:r w:rsidR="00CE56BD" w:rsidRPr="00DB58AD">
        <w:rPr>
          <w:bCs/>
          <w:lang w:val="cs-CZ"/>
        </w:rPr>
        <w:t>Koenig &amp; Bauer</w:t>
      </w:r>
      <w:r w:rsidR="00DE3622" w:rsidRPr="00DB58AD">
        <w:rPr>
          <w:bCs/>
          <w:lang w:val="cs-CZ"/>
        </w:rPr>
        <w:t xml:space="preserve"> ve svých strategických projektech pro trvale udržitelný ziskový růst znatelný pokrok</w:t>
      </w:r>
      <w:r w:rsidR="00CE56BD" w:rsidRPr="00DB58AD">
        <w:rPr>
          <w:bCs/>
          <w:lang w:val="cs-CZ"/>
        </w:rPr>
        <w:t xml:space="preserve">. </w:t>
      </w:r>
      <w:r w:rsidR="00DC55DD">
        <w:rPr>
          <w:bCs/>
          <w:lang w:val="cs-CZ"/>
        </w:rPr>
        <w:t>CEO</w:t>
      </w:r>
      <w:r w:rsidR="00707BC0" w:rsidRPr="00DB58AD">
        <w:rPr>
          <w:bCs/>
          <w:lang w:val="cs-CZ"/>
        </w:rPr>
        <w:t xml:space="preserve"> společnosti </w:t>
      </w:r>
      <w:r w:rsidR="004027A4" w:rsidRPr="00DB58AD">
        <w:rPr>
          <w:lang w:val="cs-CZ"/>
        </w:rPr>
        <w:t xml:space="preserve">Claus Bolza-Schünemann </w:t>
      </w:r>
      <w:r w:rsidR="00DE3622" w:rsidRPr="00DB58AD">
        <w:rPr>
          <w:lang w:val="cs-CZ"/>
        </w:rPr>
        <w:t xml:space="preserve">informuje o zdařilém zahájení společného podniku se společností </w:t>
      </w:r>
      <w:r w:rsidR="004027A4" w:rsidRPr="00DB58AD">
        <w:rPr>
          <w:lang w:val="cs-CZ"/>
        </w:rPr>
        <w:t>Durst</w:t>
      </w:r>
      <w:r w:rsidR="00DE3622" w:rsidRPr="00DB58AD">
        <w:rPr>
          <w:lang w:val="cs-CZ"/>
        </w:rPr>
        <w:t xml:space="preserve"> a dobrých perspektivách</w:t>
      </w:r>
      <w:r w:rsidR="004027A4" w:rsidRPr="00DB58AD">
        <w:rPr>
          <w:lang w:val="cs-CZ"/>
        </w:rPr>
        <w:t>: „</w:t>
      </w:r>
      <w:r w:rsidR="00DE3622" w:rsidRPr="00DB58AD">
        <w:rPr>
          <w:lang w:val="cs-CZ"/>
        </w:rPr>
        <w:t xml:space="preserve">Po schválení ze strany antimonopolního úřadu jsme začátkem května 2019 oficiálně založili </w:t>
      </w:r>
      <w:r w:rsidR="00707BC0" w:rsidRPr="00DB58AD">
        <w:rPr>
          <w:lang w:val="cs-CZ"/>
        </w:rPr>
        <w:t>s průkopníkem in</w:t>
      </w:r>
      <w:r w:rsidR="00DC55DD">
        <w:rPr>
          <w:lang w:val="cs-CZ"/>
        </w:rPr>
        <w:t>kje</w:t>
      </w:r>
      <w:r w:rsidR="00707BC0" w:rsidRPr="00DB58AD">
        <w:rPr>
          <w:lang w:val="cs-CZ"/>
        </w:rPr>
        <w:t xml:space="preserve">tového tisku společný </w:t>
      </w:r>
      <w:r w:rsidR="00DC55DD">
        <w:rPr>
          <w:lang w:val="cs-CZ"/>
        </w:rPr>
        <w:t>j</w:t>
      </w:r>
      <w:r w:rsidR="004027A4" w:rsidRPr="00DB58AD">
        <w:rPr>
          <w:lang w:val="cs-CZ"/>
        </w:rPr>
        <w:t xml:space="preserve">oint </w:t>
      </w:r>
      <w:r w:rsidR="00DC55DD">
        <w:rPr>
          <w:lang w:val="cs-CZ"/>
        </w:rPr>
        <w:t>v</w:t>
      </w:r>
      <w:r w:rsidR="004027A4" w:rsidRPr="00DB58AD">
        <w:rPr>
          <w:lang w:val="cs-CZ"/>
        </w:rPr>
        <w:t>enture</w:t>
      </w:r>
      <w:r w:rsidR="00DE3622" w:rsidRPr="00DB58AD">
        <w:rPr>
          <w:lang w:val="cs-CZ"/>
        </w:rPr>
        <w:t xml:space="preserve"> 50/</w:t>
      </w:r>
      <w:r w:rsidR="00707BC0" w:rsidRPr="00DB58AD">
        <w:rPr>
          <w:lang w:val="cs-CZ"/>
        </w:rPr>
        <w:t>50 a k 1. srpnu</w:t>
      </w:r>
      <w:r w:rsidR="004027A4" w:rsidRPr="00DB58AD">
        <w:rPr>
          <w:lang w:val="cs-CZ"/>
        </w:rPr>
        <w:t xml:space="preserve"> 2019 </w:t>
      </w:r>
      <w:r w:rsidR="00707BC0" w:rsidRPr="00DB58AD">
        <w:rPr>
          <w:lang w:val="cs-CZ"/>
        </w:rPr>
        <w:t>jmenovali zkušeného experta do funkce jednatele společnosti</w:t>
      </w:r>
      <w:r w:rsidR="00CD4F3C" w:rsidRPr="00DB58AD">
        <w:rPr>
          <w:lang w:val="cs-CZ"/>
        </w:rPr>
        <w:t xml:space="preserve"> Koenig &amp; Bauer Durst</w:t>
      </w:r>
      <w:r w:rsidR="004027A4" w:rsidRPr="00DB58AD">
        <w:rPr>
          <w:lang w:val="cs-CZ"/>
        </w:rPr>
        <w:t xml:space="preserve">. </w:t>
      </w:r>
      <w:r w:rsidR="00707BC0" w:rsidRPr="00DB58AD">
        <w:rPr>
          <w:lang w:val="cs-CZ"/>
        </w:rPr>
        <w:t xml:space="preserve">V oblasti skládaných krabiček a vlnité lepenky vidíme </w:t>
      </w:r>
      <w:r w:rsidR="00130939">
        <w:rPr>
          <w:lang w:val="cs-CZ"/>
        </w:rPr>
        <w:t>skutečné</w:t>
      </w:r>
      <w:r w:rsidR="00707BC0" w:rsidRPr="00DB58AD">
        <w:rPr>
          <w:lang w:val="cs-CZ"/>
        </w:rPr>
        <w:t xml:space="preserve"> šance pro digitální výrobní linky u menších individualizovaných zakázek</w:t>
      </w:r>
      <w:r w:rsidR="004027A4" w:rsidRPr="00DB58AD">
        <w:rPr>
          <w:lang w:val="cs-CZ"/>
        </w:rPr>
        <w:t xml:space="preserve">. </w:t>
      </w:r>
      <w:r w:rsidR="00707BC0" w:rsidRPr="00DB58AD">
        <w:rPr>
          <w:lang w:val="cs-CZ"/>
        </w:rPr>
        <w:t>Zde si odvětví žádá ekonomicky výhodná a flexibilní řešení</w:t>
      </w:r>
      <w:r w:rsidR="004027A4" w:rsidRPr="00DB58AD">
        <w:rPr>
          <w:lang w:val="cs-CZ"/>
        </w:rPr>
        <w:t xml:space="preserve">. </w:t>
      </w:r>
      <w:r w:rsidR="00707BC0" w:rsidRPr="00DB58AD">
        <w:rPr>
          <w:lang w:val="cs-CZ"/>
        </w:rPr>
        <w:t>Kromě tiskového stroje</w:t>
      </w:r>
      <w:r w:rsidR="004027A4" w:rsidRPr="00DB58AD">
        <w:rPr>
          <w:lang w:val="cs-CZ"/>
        </w:rPr>
        <w:t xml:space="preserve"> VariJET 106 </w:t>
      </w:r>
      <w:r w:rsidR="00707BC0" w:rsidRPr="00DB58AD">
        <w:rPr>
          <w:lang w:val="cs-CZ"/>
        </w:rPr>
        <w:t xml:space="preserve">pro digitální potisk skládaných krabiček patří </w:t>
      </w:r>
      <w:r w:rsidR="00DB58AD" w:rsidRPr="00DB58AD">
        <w:rPr>
          <w:lang w:val="cs-CZ"/>
        </w:rPr>
        <w:t xml:space="preserve">do portfolia společného podniku </w:t>
      </w:r>
      <w:r w:rsidR="00130939">
        <w:rPr>
          <w:lang w:val="cs-CZ"/>
        </w:rPr>
        <w:t xml:space="preserve">stroj </w:t>
      </w:r>
      <w:r w:rsidR="00707BC0" w:rsidRPr="00DB58AD">
        <w:rPr>
          <w:lang w:val="cs-CZ"/>
        </w:rPr>
        <w:t xml:space="preserve">CorruJET 170 společnosti </w:t>
      </w:r>
      <w:r w:rsidR="004027A4" w:rsidRPr="00DB58AD">
        <w:rPr>
          <w:lang w:val="cs-CZ"/>
        </w:rPr>
        <w:t>Koenig &amp; Bauer</w:t>
      </w:r>
      <w:r w:rsidR="00707BC0" w:rsidRPr="00DB58AD">
        <w:rPr>
          <w:lang w:val="cs-CZ"/>
        </w:rPr>
        <w:t xml:space="preserve"> a </w:t>
      </w:r>
      <w:r w:rsidR="004027A4" w:rsidRPr="00DB58AD">
        <w:rPr>
          <w:lang w:val="cs-CZ"/>
        </w:rPr>
        <w:t xml:space="preserve">SPC 130 </w:t>
      </w:r>
      <w:r w:rsidR="00707BC0" w:rsidRPr="00DB58AD">
        <w:rPr>
          <w:lang w:val="cs-CZ"/>
        </w:rPr>
        <w:t>společnosti Durst pro digitální přímý tisk na vlnitou lepenku včetně</w:t>
      </w:r>
      <w:r w:rsidR="00DB58AD" w:rsidRPr="00DB58AD">
        <w:rPr>
          <w:lang w:val="cs-CZ"/>
        </w:rPr>
        <w:t xml:space="preserve"> inkoustů a servisních služeb</w:t>
      </w:r>
      <w:r w:rsidR="004027A4" w:rsidRPr="00DB58AD">
        <w:rPr>
          <w:lang w:val="cs-CZ"/>
        </w:rPr>
        <w:t>.“</w:t>
      </w:r>
    </w:p>
    <w:p w:rsidR="009A1310" w:rsidRDefault="00DB58AD" w:rsidP="00C23AA9">
      <w:pPr>
        <w:spacing w:afterLines="0" w:after="0"/>
        <w:rPr>
          <w:bCs/>
          <w:lang w:val="cs-CZ"/>
        </w:rPr>
      </w:pPr>
      <w:r w:rsidRPr="00DB58AD">
        <w:rPr>
          <w:bCs/>
          <w:lang w:val="cs-CZ"/>
        </w:rPr>
        <w:t xml:space="preserve">Finanční ředitel společnosti </w:t>
      </w:r>
      <w:r w:rsidR="00F9631F" w:rsidRPr="00DB58AD">
        <w:rPr>
          <w:bCs/>
          <w:lang w:val="cs-CZ"/>
        </w:rPr>
        <w:t xml:space="preserve">Mathias Dähn </w:t>
      </w:r>
      <w:r w:rsidRPr="00DB58AD">
        <w:rPr>
          <w:bCs/>
          <w:lang w:val="cs-CZ"/>
        </w:rPr>
        <w:t>vysvětluje další příklady dosaženého pokroku</w:t>
      </w:r>
      <w:r w:rsidR="00F9631F" w:rsidRPr="00DB58AD">
        <w:rPr>
          <w:bCs/>
          <w:lang w:val="cs-CZ"/>
        </w:rPr>
        <w:t>: „</w:t>
      </w:r>
      <w:r w:rsidRPr="00DB58AD">
        <w:rPr>
          <w:bCs/>
          <w:lang w:val="cs-CZ"/>
        </w:rPr>
        <w:t>Prodali jsme již v pořadí pátý stroj</w:t>
      </w:r>
      <w:r>
        <w:rPr>
          <w:bCs/>
          <w:lang w:val="cs-CZ"/>
        </w:rPr>
        <w:t xml:space="preserve"> RotaJET pro digitální tisk dekorů</w:t>
      </w:r>
      <w:r w:rsidR="00F9631F" w:rsidRPr="00DB58AD">
        <w:rPr>
          <w:lang w:val="cs-CZ"/>
        </w:rPr>
        <w:t xml:space="preserve">. </w:t>
      </w:r>
      <w:r>
        <w:rPr>
          <w:lang w:val="cs-CZ"/>
        </w:rPr>
        <w:t xml:space="preserve">Dvě objednávky tohoto vyspělého a vysoce kvalitního řešení pro digitální tisk jsme obdrželi od výrobců materiálů na bázi dřeva, kteří doposud chtěli tisknout získané dekory sami v menších zakázkách </w:t>
      </w:r>
      <w:r w:rsidR="00130939">
        <w:rPr>
          <w:lang w:val="cs-CZ"/>
        </w:rPr>
        <w:t>z důvodu dále</w:t>
      </w:r>
      <w:r>
        <w:rPr>
          <w:lang w:val="cs-CZ"/>
        </w:rPr>
        <w:t xml:space="preserve"> </w:t>
      </w:r>
      <w:r w:rsidR="00130939">
        <w:rPr>
          <w:lang w:val="cs-CZ"/>
        </w:rPr>
        <w:t>sílícího</w:t>
      </w:r>
      <w:r>
        <w:rPr>
          <w:lang w:val="cs-CZ"/>
        </w:rPr>
        <w:t xml:space="preserve"> trendu individualizace</w:t>
      </w:r>
      <w:r w:rsidR="00F9631F" w:rsidRPr="00DB58AD">
        <w:rPr>
          <w:bCs/>
          <w:lang w:val="cs-CZ"/>
        </w:rPr>
        <w:t xml:space="preserve">. </w:t>
      </w:r>
      <w:r w:rsidR="00F9631F" w:rsidRPr="006A0BDA">
        <w:rPr>
          <w:bCs/>
          <w:lang w:val="cs-CZ"/>
        </w:rPr>
        <w:t>D</w:t>
      </w:r>
      <w:r w:rsidR="006A0BDA" w:rsidRPr="006A0BDA">
        <w:rPr>
          <w:bCs/>
          <w:lang w:val="cs-CZ"/>
        </w:rPr>
        <w:t xml:space="preserve">íky této výraznější změně ve struktuře tisku dekorů vidíme pro naši platformu digitální tisku </w:t>
      </w:r>
      <w:r w:rsidR="00F9631F" w:rsidRPr="006A0BDA">
        <w:rPr>
          <w:bCs/>
          <w:lang w:val="cs-CZ"/>
        </w:rPr>
        <w:t>RotaJET</w:t>
      </w:r>
      <w:r w:rsidR="006A0BDA" w:rsidRPr="006A0BDA">
        <w:rPr>
          <w:bCs/>
          <w:lang w:val="cs-CZ"/>
        </w:rPr>
        <w:t xml:space="preserve"> velký potenciál obratu a </w:t>
      </w:r>
      <w:r w:rsidR="001B318C">
        <w:rPr>
          <w:bCs/>
          <w:lang w:val="cs-CZ"/>
        </w:rPr>
        <w:t>zisku</w:t>
      </w:r>
      <w:r w:rsidR="00F9631F" w:rsidRPr="006A0BDA">
        <w:rPr>
          <w:bCs/>
          <w:lang w:val="cs-CZ"/>
        </w:rPr>
        <w:t xml:space="preserve">. </w:t>
      </w:r>
      <w:r w:rsidR="006A0BDA">
        <w:rPr>
          <w:bCs/>
          <w:lang w:val="cs-CZ"/>
        </w:rPr>
        <w:t>To platí obdobně i pro digitální tisk nápojových kartonů po</w:t>
      </w:r>
      <w:r w:rsidR="001B318C">
        <w:rPr>
          <w:bCs/>
          <w:lang w:val="cs-CZ"/>
        </w:rPr>
        <w:t>dle</w:t>
      </w:r>
      <w:r w:rsidR="006A0BDA">
        <w:rPr>
          <w:bCs/>
          <w:lang w:val="cs-CZ"/>
        </w:rPr>
        <w:t xml:space="preserve"> klíčové zakáz</w:t>
      </w:r>
      <w:r w:rsidR="001B318C">
        <w:rPr>
          <w:bCs/>
          <w:lang w:val="cs-CZ"/>
        </w:rPr>
        <w:t>ky</w:t>
      </w:r>
      <w:r w:rsidR="006A0BDA">
        <w:rPr>
          <w:bCs/>
          <w:lang w:val="cs-CZ"/>
        </w:rPr>
        <w:t xml:space="preserve"> společnosti</w:t>
      </w:r>
      <w:r w:rsidR="00F9631F" w:rsidRPr="006A0BDA">
        <w:rPr>
          <w:bCs/>
          <w:lang w:val="cs-CZ"/>
        </w:rPr>
        <w:t xml:space="preserve"> Tetra Pak. </w:t>
      </w:r>
      <w:r w:rsidR="006A0BDA" w:rsidRPr="006A0BDA">
        <w:rPr>
          <w:lang w:val="cs-CZ"/>
        </w:rPr>
        <w:t xml:space="preserve">Pro velký a silně rostoucí trh analogového přímého potisku vlnité lepenky jsme vyvinuli archové flexotiskové stroje CorruFLEX a CorruCUT </w:t>
      </w:r>
      <w:r w:rsidR="006A0BDA">
        <w:rPr>
          <w:lang w:val="cs-CZ"/>
        </w:rPr>
        <w:t xml:space="preserve">s vlastními </w:t>
      </w:r>
      <w:r w:rsidR="00914591">
        <w:rPr>
          <w:lang w:val="cs-CZ"/>
        </w:rPr>
        <w:t>jedinečnými vlastnostmi</w:t>
      </w:r>
      <w:r w:rsidR="00F9631F" w:rsidRPr="006A0BDA">
        <w:rPr>
          <w:lang w:val="cs-CZ"/>
        </w:rPr>
        <w:t xml:space="preserve">. </w:t>
      </w:r>
      <w:r w:rsidR="00914591" w:rsidRPr="00914591">
        <w:rPr>
          <w:rStyle w:val="tlid-translation"/>
          <w:lang w:val="cs-CZ"/>
        </w:rPr>
        <w:t>Po zkušební fázi prototypu v</w:t>
      </w:r>
      <w:r w:rsidR="00914591">
        <w:rPr>
          <w:rStyle w:val="tlid-translation"/>
          <w:lang w:val="cs-CZ"/>
        </w:rPr>
        <w:t> </w:t>
      </w:r>
      <w:r w:rsidR="00914591" w:rsidRPr="00914591">
        <w:rPr>
          <w:rStyle w:val="tlid-translation"/>
          <w:lang w:val="cs-CZ"/>
        </w:rPr>
        <w:t>naš</w:t>
      </w:r>
      <w:r w:rsidR="00914591">
        <w:rPr>
          <w:rStyle w:val="tlid-translation"/>
          <w:lang w:val="cs-CZ"/>
        </w:rPr>
        <w:t>em závodě</w:t>
      </w:r>
      <w:r w:rsidR="00914591" w:rsidRPr="00914591">
        <w:rPr>
          <w:rStyle w:val="tlid-translation"/>
          <w:lang w:val="cs-CZ"/>
        </w:rPr>
        <w:t xml:space="preserve"> renomovaný pilotní zákazník a vývojový partner</w:t>
      </w:r>
      <w:r w:rsidR="001B318C">
        <w:rPr>
          <w:rStyle w:val="tlid-translation"/>
          <w:lang w:val="cs-CZ"/>
        </w:rPr>
        <w:t>,</w:t>
      </w:r>
      <w:r w:rsidR="00914591" w:rsidRPr="00914591">
        <w:rPr>
          <w:rStyle w:val="tlid-translation"/>
          <w:lang w:val="cs-CZ"/>
        </w:rPr>
        <w:t xml:space="preserve"> </w:t>
      </w:r>
      <w:r w:rsidR="00914591">
        <w:rPr>
          <w:rStyle w:val="tlid-translation"/>
          <w:lang w:val="cs-CZ"/>
        </w:rPr>
        <w:t xml:space="preserve">společnost </w:t>
      </w:r>
      <w:r w:rsidR="00914591" w:rsidRPr="00914591">
        <w:rPr>
          <w:rStyle w:val="tlid-translation"/>
          <w:lang w:val="cs-CZ"/>
        </w:rPr>
        <w:t>Klingele</w:t>
      </w:r>
      <w:r w:rsidR="001B318C">
        <w:rPr>
          <w:rStyle w:val="tlid-translation"/>
          <w:lang w:val="cs-CZ"/>
        </w:rPr>
        <w:t>,</w:t>
      </w:r>
      <w:r w:rsidR="00914591" w:rsidRPr="00914591">
        <w:rPr>
          <w:rStyle w:val="tlid-translation"/>
          <w:lang w:val="cs-CZ"/>
        </w:rPr>
        <w:t xml:space="preserve"> </w:t>
      </w:r>
      <w:r w:rsidR="00914591">
        <w:rPr>
          <w:rStyle w:val="tlid-translation"/>
          <w:lang w:val="cs-CZ"/>
        </w:rPr>
        <w:t xml:space="preserve">odebral </w:t>
      </w:r>
      <w:r w:rsidR="00914591" w:rsidRPr="00914591">
        <w:rPr>
          <w:rStyle w:val="tlid-translation"/>
          <w:lang w:val="cs-CZ"/>
        </w:rPr>
        <w:t>objednaný</w:t>
      </w:r>
      <w:r w:rsidR="00914591">
        <w:rPr>
          <w:rStyle w:val="tlid-translation"/>
          <w:lang w:val="cs-CZ"/>
        </w:rPr>
        <w:t xml:space="preserve"> stroj</w:t>
      </w:r>
      <w:r w:rsidR="00914591" w:rsidRPr="00914591">
        <w:rPr>
          <w:rStyle w:val="tlid-translation"/>
          <w:lang w:val="cs-CZ"/>
        </w:rPr>
        <w:t xml:space="preserve"> CorruCUT</w:t>
      </w:r>
      <w:r w:rsidR="00F9631F" w:rsidRPr="00914591">
        <w:rPr>
          <w:lang w:val="cs-CZ"/>
        </w:rPr>
        <w:t xml:space="preserve">. </w:t>
      </w:r>
      <w:r w:rsidR="00914591">
        <w:rPr>
          <w:lang w:val="cs-CZ"/>
        </w:rPr>
        <w:t xml:space="preserve">Díky kvalitě tisku a vysekávání, krátkým přípravným časům a komfortní obsluze je odezva zákazníka a celosvětového průmyslu vlnité lepenky na naši inovaci </w:t>
      </w:r>
      <w:r w:rsidR="00DC55DD">
        <w:rPr>
          <w:lang w:val="cs-CZ"/>
        </w:rPr>
        <w:t>velmi</w:t>
      </w:r>
      <w:r w:rsidR="00914591">
        <w:rPr>
          <w:lang w:val="cs-CZ"/>
        </w:rPr>
        <w:t xml:space="preserve"> pozitivní</w:t>
      </w:r>
      <w:r w:rsidR="00F9631F" w:rsidRPr="00914591">
        <w:rPr>
          <w:lang w:val="cs-CZ"/>
        </w:rPr>
        <w:t xml:space="preserve">. </w:t>
      </w:r>
      <w:r w:rsidR="00914591">
        <w:rPr>
          <w:lang w:val="cs-CZ"/>
        </w:rPr>
        <w:t>Rovněž potěšující je zpětná reakce zákazníka na právě probíhající test</w:t>
      </w:r>
      <w:r w:rsidR="00F9631F" w:rsidRPr="00914591">
        <w:rPr>
          <w:lang w:val="cs-CZ"/>
        </w:rPr>
        <w:t xml:space="preserve"> </w:t>
      </w:r>
      <w:r w:rsidR="00914591" w:rsidRPr="00914591">
        <w:rPr>
          <w:lang w:val="cs-CZ"/>
        </w:rPr>
        <w:t xml:space="preserve">zařízení </w:t>
      </w:r>
      <w:r w:rsidR="00F9631F" w:rsidRPr="00914591">
        <w:rPr>
          <w:lang w:val="cs-CZ"/>
        </w:rPr>
        <w:t xml:space="preserve">CS MetalCan, </w:t>
      </w:r>
      <w:r w:rsidR="00914591" w:rsidRPr="00914591">
        <w:rPr>
          <w:lang w:val="cs-CZ"/>
        </w:rPr>
        <w:t xml:space="preserve">které jsme vyvinuli </w:t>
      </w:r>
      <w:r w:rsidR="00914591">
        <w:rPr>
          <w:lang w:val="cs-CZ"/>
        </w:rPr>
        <w:t xml:space="preserve">s několika jedinečnými vlastnostmi </w:t>
      </w:r>
      <w:r w:rsidR="00914591" w:rsidRPr="00914591">
        <w:rPr>
          <w:lang w:val="cs-CZ"/>
        </w:rPr>
        <w:t xml:space="preserve">pro potisk </w:t>
      </w:r>
      <w:r w:rsidR="00914591">
        <w:rPr>
          <w:lang w:val="cs-CZ"/>
        </w:rPr>
        <w:t>dvoudílných nápojových plechovek</w:t>
      </w:r>
      <w:r w:rsidR="00B4385D" w:rsidRPr="00914591">
        <w:rPr>
          <w:lang w:val="cs-CZ"/>
        </w:rPr>
        <w:t>.</w:t>
      </w:r>
      <w:r w:rsidR="00F9631F" w:rsidRPr="00914591">
        <w:rPr>
          <w:bCs/>
          <w:lang w:val="cs-CZ"/>
        </w:rPr>
        <w:t>“</w:t>
      </w:r>
    </w:p>
    <w:p w:rsidR="00C23AA9" w:rsidRDefault="00C23AA9" w:rsidP="00C23AA9">
      <w:pPr>
        <w:pStyle w:val="Nadpis3"/>
      </w:pPr>
    </w:p>
    <w:p w:rsidR="00AD1C4B" w:rsidRPr="009A1310" w:rsidRDefault="00E52883" w:rsidP="00C23AA9">
      <w:pPr>
        <w:pStyle w:val="Nadpis3"/>
      </w:pPr>
      <w:bookmarkStart w:id="0" w:name="_GoBack"/>
      <w:bookmarkEnd w:id="0"/>
      <w:r w:rsidRPr="009A1310">
        <w:t>Book-to-Bill-Ratio 1,13</w:t>
      </w:r>
    </w:p>
    <w:p w:rsidR="00AD1C4B" w:rsidRPr="00BA2331" w:rsidRDefault="00914591" w:rsidP="00C23AA9">
      <w:pPr>
        <w:spacing w:after="240"/>
        <w:rPr>
          <w:szCs w:val="20"/>
          <w:lang w:val="cs-CZ"/>
        </w:rPr>
      </w:pPr>
      <w:r w:rsidRPr="006734CF">
        <w:rPr>
          <w:lang w:val="cs-CZ"/>
        </w:rPr>
        <w:t>Po</w:t>
      </w:r>
      <w:r w:rsidR="00AD1C4B" w:rsidRPr="006734CF">
        <w:rPr>
          <w:lang w:val="cs-CZ"/>
        </w:rPr>
        <w:t xml:space="preserve"> 276,4 </w:t>
      </w:r>
      <w:r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 </w:t>
      </w:r>
      <w:r w:rsidRPr="006734CF">
        <w:rPr>
          <w:lang w:val="cs-CZ"/>
        </w:rPr>
        <w:t xml:space="preserve">v prvním čtvrtletí </w:t>
      </w:r>
      <w:r w:rsidR="007E590B" w:rsidRPr="006734CF">
        <w:rPr>
          <w:lang w:val="cs-CZ"/>
        </w:rPr>
        <w:t>pokračoval ve skupině</w:t>
      </w:r>
      <w:r w:rsidR="00AD1C4B" w:rsidRPr="006734CF">
        <w:rPr>
          <w:lang w:val="cs-CZ"/>
        </w:rPr>
        <w:t xml:space="preserve"> Koenig &amp; Bauer</w:t>
      </w:r>
      <w:r w:rsidR="007E590B" w:rsidRPr="006734CF">
        <w:rPr>
          <w:lang w:val="cs-CZ"/>
        </w:rPr>
        <w:t xml:space="preserve"> v druhém čtvrtletí pozitivní vývoj zakázek novými objednávkami v hodnotě</w:t>
      </w:r>
      <w:r w:rsidR="00AD1C4B" w:rsidRPr="006734CF">
        <w:rPr>
          <w:lang w:val="cs-CZ"/>
        </w:rPr>
        <w:t xml:space="preserve"> 296,9 </w:t>
      </w:r>
      <w:r w:rsidR="007E590B"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€. </w:t>
      </w:r>
      <w:r w:rsidR="00130939">
        <w:rPr>
          <w:lang w:val="cs-CZ"/>
        </w:rPr>
        <w:t xml:space="preserve">V prvním pololetí 2019 bylo hodnotou </w:t>
      </w:r>
      <w:r w:rsidR="00AD1C4B" w:rsidRPr="006734CF">
        <w:rPr>
          <w:lang w:val="cs-CZ"/>
        </w:rPr>
        <w:t xml:space="preserve">573,3 </w:t>
      </w:r>
      <w:r w:rsidR="007E590B"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 </w:t>
      </w:r>
      <w:r w:rsidR="00130939">
        <w:rPr>
          <w:lang w:val="cs-CZ"/>
        </w:rPr>
        <w:t xml:space="preserve">dosaženo </w:t>
      </w:r>
      <w:r w:rsidR="001B318C">
        <w:rPr>
          <w:lang w:val="cs-CZ"/>
        </w:rPr>
        <w:t>dobr</w:t>
      </w:r>
      <w:r w:rsidR="00130939">
        <w:rPr>
          <w:lang w:val="cs-CZ"/>
        </w:rPr>
        <w:t>é</w:t>
      </w:r>
      <w:r w:rsidR="001B318C">
        <w:rPr>
          <w:lang w:val="cs-CZ"/>
        </w:rPr>
        <w:t xml:space="preserve"> úrov</w:t>
      </w:r>
      <w:r w:rsidR="00130939">
        <w:rPr>
          <w:lang w:val="cs-CZ"/>
        </w:rPr>
        <w:t>ně</w:t>
      </w:r>
      <w:r w:rsidR="001B318C">
        <w:rPr>
          <w:lang w:val="cs-CZ"/>
        </w:rPr>
        <w:t xml:space="preserve"> objemu</w:t>
      </w:r>
      <w:r w:rsidR="007E590B" w:rsidRPr="006734CF">
        <w:rPr>
          <w:lang w:val="cs-CZ"/>
        </w:rPr>
        <w:t xml:space="preserve"> přijatých zakázek</w:t>
      </w:r>
      <w:r w:rsidR="00AD1C4B" w:rsidRPr="006734CF">
        <w:rPr>
          <w:lang w:val="cs-CZ"/>
        </w:rPr>
        <w:t xml:space="preserve">. </w:t>
      </w:r>
      <w:r w:rsidR="007E590B" w:rsidRPr="006734CF">
        <w:rPr>
          <w:lang w:val="cs-CZ"/>
        </w:rPr>
        <w:t xml:space="preserve">Hodnota předchozího </w:t>
      </w:r>
      <w:r w:rsidR="00482262" w:rsidRPr="006734CF">
        <w:rPr>
          <w:lang w:val="cs-CZ"/>
        </w:rPr>
        <w:t>r</w:t>
      </w:r>
      <w:r w:rsidR="007E590B" w:rsidRPr="006734CF">
        <w:rPr>
          <w:lang w:val="cs-CZ"/>
        </w:rPr>
        <w:t>oku ve výši</w:t>
      </w:r>
      <w:r w:rsidR="00AD1C4B" w:rsidRPr="006734CF">
        <w:rPr>
          <w:lang w:val="cs-CZ"/>
        </w:rPr>
        <w:t xml:space="preserve"> 705,3 </w:t>
      </w:r>
      <w:r w:rsidR="007E590B"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 </w:t>
      </w:r>
      <w:r w:rsidR="007E590B" w:rsidRPr="006734CF">
        <w:rPr>
          <w:lang w:val="cs-CZ"/>
        </w:rPr>
        <w:t xml:space="preserve">byla </w:t>
      </w:r>
      <w:r w:rsidR="00482262" w:rsidRPr="006734CF">
        <w:rPr>
          <w:lang w:val="cs-CZ"/>
        </w:rPr>
        <w:t>pozitivně ovlivněna velkou zakázkou na tisk cenných papírů</w:t>
      </w:r>
      <w:r w:rsidR="00AD1C4B" w:rsidRPr="006734CF">
        <w:rPr>
          <w:lang w:val="cs-CZ"/>
        </w:rPr>
        <w:t xml:space="preserve">. </w:t>
      </w:r>
      <w:r w:rsidR="00482262" w:rsidRPr="006734CF">
        <w:rPr>
          <w:lang w:val="cs-CZ"/>
        </w:rPr>
        <w:t xml:space="preserve">Z důvodu těžiště expedice v druhé polovině roku činil obrat koncernu </w:t>
      </w:r>
      <w:r w:rsidR="00AD1C4B" w:rsidRPr="006734CF">
        <w:rPr>
          <w:lang w:val="cs-CZ"/>
        </w:rPr>
        <w:t xml:space="preserve">506,0 </w:t>
      </w:r>
      <w:r w:rsidR="00482262" w:rsidRPr="006734CF">
        <w:rPr>
          <w:lang w:val="cs-CZ"/>
        </w:rPr>
        <w:t>mil</w:t>
      </w:r>
      <w:r w:rsidR="00AD1C4B" w:rsidRPr="006734CF">
        <w:rPr>
          <w:lang w:val="cs-CZ"/>
        </w:rPr>
        <w:t>. €</w:t>
      </w:r>
      <w:r w:rsidR="00482262" w:rsidRPr="006734CF">
        <w:rPr>
          <w:lang w:val="cs-CZ"/>
        </w:rPr>
        <w:t>, tedy ještě mírně pod úrovní předchozího roku ve výši</w:t>
      </w:r>
      <w:r w:rsidR="00AD1C4B" w:rsidRPr="006734CF">
        <w:rPr>
          <w:lang w:val="cs-CZ"/>
        </w:rPr>
        <w:t xml:space="preserve"> 514,4 </w:t>
      </w:r>
      <w:r w:rsidR="00482262"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€. </w:t>
      </w:r>
      <w:r w:rsidR="00130939">
        <w:rPr>
          <w:lang w:val="cs-CZ"/>
        </w:rPr>
        <w:t xml:space="preserve">Stav přijatých zakázek k 30. červnu činil </w:t>
      </w:r>
      <w:r w:rsidR="00AD1C4B" w:rsidRPr="006734CF">
        <w:rPr>
          <w:lang w:val="cs-CZ"/>
        </w:rPr>
        <w:t xml:space="preserve">678,2 </w:t>
      </w:r>
      <w:r w:rsidR="00482262" w:rsidRPr="006734CF">
        <w:rPr>
          <w:lang w:val="cs-CZ"/>
        </w:rPr>
        <w:t>mil</w:t>
      </w:r>
      <w:r w:rsidR="00AD1C4B" w:rsidRPr="006734CF">
        <w:rPr>
          <w:lang w:val="cs-CZ"/>
        </w:rPr>
        <w:t>. €</w:t>
      </w:r>
      <w:r w:rsidR="006734CF">
        <w:rPr>
          <w:lang w:val="cs-CZ"/>
        </w:rPr>
        <w:t>,</w:t>
      </w:r>
      <w:r w:rsidR="006734CF" w:rsidRPr="006734CF">
        <w:rPr>
          <w:lang w:val="cs-CZ"/>
        </w:rPr>
        <w:t xml:space="preserve"> což</w:t>
      </w:r>
      <w:r w:rsidR="00482262" w:rsidRPr="006734CF">
        <w:rPr>
          <w:lang w:val="cs-CZ"/>
        </w:rPr>
        <w:t xml:space="preserve"> je o</w:t>
      </w:r>
      <w:r w:rsidR="00AD1C4B" w:rsidRPr="006734CF">
        <w:rPr>
          <w:lang w:val="cs-CZ"/>
        </w:rPr>
        <w:t xml:space="preserve"> 11,0 % </w:t>
      </w:r>
      <w:r w:rsidR="00482262" w:rsidRPr="006734CF">
        <w:rPr>
          <w:lang w:val="cs-CZ"/>
        </w:rPr>
        <w:t>v</w:t>
      </w:r>
      <w:r w:rsidR="001B318C">
        <w:rPr>
          <w:lang w:val="cs-CZ"/>
        </w:rPr>
        <w:t>íce</w:t>
      </w:r>
      <w:r w:rsidR="00482262" w:rsidRPr="006734CF">
        <w:rPr>
          <w:lang w:val="cs-CZ"/>
        </w:rPr>
        <w:t>, než na začátku roku</w:t>
      </w:r>
      <w:r w:rsidR="00AD1C4B" w:rsidRPr="006734CF">
        <w:rPr>
          <w:lang w:val="cs-CZ"/>
        </w:rPr>
        <w:t xml:space="preserve"> (610,9 </w:t>
      </w:r>
      <w:r w:rsidR="00482262" w:rsidRPr="006734CF">
        <w:rPr>
          <w:lang w:val="cs-CZ"/>
        </w:rPr>
        <w:t>mil</w:t>
      </w:r>
      <w:r w:rsidR="00AD1C4B" w:rsidRPr="006734CF">
        <w:rPr>
          <w:lang w:val="cs-CZ"/>
        </w:rPr>
        <w:t xml:space="preserve">. €), </w:t>
      </w:r>
      <w:r w:rsidR="00482262" w:rsidRPr="006734CF">
        <w:rPr>
          <w:lang w:val="cs-CZ"/>
        </w:rPr>
        <w:t>avšak díky zúč</w:t>
      </w:r>
      <w:r w:rsidR="006734CF">
        <w:rPr>
          <w:lang w:val="cs-CZ"/>
        </w:rPr>
        <w:t>t</w:t>
      </w:r>
      <w:r w:rsidR="00482262" w:rsidRPr="006734CF">
        <w:rPr>
          <w:lang w:val="cs-CZ"/>
        </w:rPr>
        <w:t xml:space="preserve">ované velké zakázce na tisk cenných papírů v druhém čtvrtletí 2018 nižší, než ke konci </w:t>
      </w:r>
      <w:r w:rsidR="006734CF" w:rsidRPr="006734CF">
        <w:rPr>
          <w:lang w:val="cs-CZ"/>
        </w:rPr>
        <w:t>pololetí</w:t>
      </w:r>
      <w:r w:rsidR="00482262" w:rsidRPr="006734CF">
        <w:rPr>
          <w:lang w:val="cs-CZ"/>
        </w:rPr>
        <w:t xml:space="preserve"> </w:t>
      </w:r>
      <w:r w:rsidR="00AD1C4B" w:rsidRPr="006734CF">
        <w:rPr>
          <w:lang w:val="cs-CZ"/>
        </w:rPr>
        <w:t xml:space="preserve">2018 (805,8 </w:t>
      </w:r>
      <w:r w:rsidR="00482262" w:rsidRPr="006734CF">
        <w:rPr>
          <w:lang w:val="cs-CZ"/>
        </w:rPr>
        <w:t>mil</w:t>
      </w:r>
      <w:r w:rsidR="00AD1C4B" w:rsidRPr="006734CF">
        <w:rPr>
          <w:lang w:val="cs-CZ"/>
        </w:rPr>
        <w:t>. €).</w:t>
      </w:r>
      <w:r w:rsidR="00E52883" w:rsidRPr="006734CF">
        <w:rPr>
          <w:szCs w:val="20"/>
          <w:lang w:val="cs-CZ"/>
        </w:rPr>
        <w:t xml:space="preserve"> </w:t>
      </w:r>
      <w:r w:rsidR="006734CF" w:rsidRPr="006734CF">
        <w:rPr>
          <w:szCs w:val="20"/>
          <w:lang w:val="cs-CZ"/>
        </w:rPr>
        <w:t>Vývoj výnosů rozhodně ovlivnily v</w:t>
      </w:r>
      <w:r w:rsidR="00482262" w:rsidRPr="006734CF">
        <w:rPr>
          <w:szCs w:val="20"/>
          <w:lang w:val="cs-CZ"/>
        </w:rPr>
        <w:t>ýdaje na růstovou ofenzívu</w:t>
      </w:r>
      <w:r w:rsidR="00753E7D" w:rsidRPr="006734CF">
        <w:rPr>
          <w:lang w:val="cs-CZ"/>
        </w:rPr>
        <w:t xml:space="preserve"> 2023, </w:t>
      </w:r>
      <w:r w:rsidR="00482262" w:rsidRPr="006734CF">
        <w:rPr>
          <w:lang w:val="cs-CZ"/>
        </w:rPr>
        <w:t>které odhadujeme kumulovaně za roky</w:t>
      </w:r>
      <w:r w:rsidR="00753E7D" w:rsidRPr="006734CF">
        <w:rPr>
          <w:color w:val="000000"/>
          <w:lang w:val="cs-CZ"/>
        </w:rPr>
        <w:t xml:space="preserve"> 2019 </w:t>
      </w:r>
      <w:r w:rsidR="00482262" w:rsidRPr="006734CF">
        <w:rPr>
          <w:color w:val="000000"/>
          <w:lang w:val="cs-CZ"/>
        </w:rPr>
        <w:t>až</w:t>
      </w:r>
      <w:r w:rsidR="00753E7D" w:rsidRPr="006734CF">
        <w:rPr>
          <w:color w:val="000000"/>
          <w:lang w:val="cs-CZ"/>
        </w:rPr>
        <w:t xml:space="preserve"> 2021 </w:t>
      </w:r>
      <w:r w:rsidR="00482262" w:rsidRPr="006734CF">
        <w:rPr>
          <w:color w:val="000000"/>
          <w:lang w:val="cs-CZ"/>
        </w:rPr>
        <w:t>na cca</w:t>
      </w:r>
      <w:r w:rsidR="00753E7D" w:rsidRPr="006734CF">
        <w:rPr>
          <w:lang w:val="cs-CZ"/>
        </w:rPr>
        <w:t xml:space="preserve"> 50 </w:t>
      </w:r>
      <w:r w:rsidR="00482262" w:rsidRPr="006734CF">
        <w:rPr>
          <w:lang w:val="cs-CZ"/>
        </w:rPr>
        <w:t>mil</w:t>
      </w:r>
      <w:r w:rsidR="00753E7D" w:rsidRPr="006734CF">
        <w:rPr>
          <w:lang w:val="cs-CZ"/>
        </w:rPr>
        <w:t xml:space="preserve">. € </w:t>
      </w:r>
      <w:r w:rsidR="006734CF" w:rsidRPr="006734CF">
        <w:rPr>
          <w:lang w:val="cs-CZ"/>
        </w:rPr>
        <w:t>se silnějším zatížením na začátku roku</w:t>
      </w:r>
      <w:r w:rsidR="00753E7D" w:rsidRPr="006734CF">
        <w:rPr>
          <w:lang w:val="cs-CZ"/>
        </w:rPr>
        <w:t xml:space="preserve">, </w:t>
      </w:r>
      <w:r w:rsidR="006734CF" w:rsidRPr="006734CF">
        <w:rPr>
          <w:lang w:val="cs-CZ"/>
        </w:rPr>
        <w:t xml:space="preserve">a nižší </w:t>
      </w:r>
      <w:r w:rsidR="006734CF">
        <w:rPr>
          <w:lang w:val="cs-CZ"/>
        </w:rPr>
        <w:t>úroveň</w:t>
      </w:r>
      <w:r w:rsidR="006734CF" w:rsidRPr="006734CF">
        <w:rPr>
          <w:lang w:val="cs-CZ"/>
        </w:rPr>
        <w:t xml:space="preserve"> obratu v první polovině roku podmíněná expedicí</w:t>
      </w:r>
      <w:r w:rsidR="00753E7D" w:rsidRPr="006734CF">
        <w:rPr>
          <w:lang w:val="cs-CZ"/>
        </w:rPr>
        <w:t xml:space="preserve">. </w:t>
      </w:r>
      <w:r w:rsidR="006734CF" w:rsidRPr="006734CF">
        <w:rPr>
          <w:lang w:val="cs-CZ"/>
        </w:rPr>
        <w:t>Podle toho byla hodnota</w:t>
      </w:r>
      <w:r w:rsidR="00753E7D" w:rsidRPr="006734CF">
        <w:rPr>
          <w:lang w:val="cs-CZ"/>
        </w:rPr>
        <w:t xml:space="preserve"> </w:t>
      </w:r>
      <w:r w:rsidR="001B318C">
        <w:rPr>
          <w:lang w:val="cs-CZ"/>
        </w:rPr>
        <w:t>provozního zisku (</w:t>
      </w:r>
      <w:r w:rsidR="00753E7D" w:rsidRPr="006734CF">
        <w:rPr>
          <w:lang w:val="cs-CZ"/>
        </w:rPr>
        <w:t>EBIT</w:t>
      </w:r>
      <w:r w:rsidR="001B318C">
        <w:rPr>
          <w:lang w:val="cs-CZ"/>
        </w:rPr>
        <w:t>)</w:t>
      </w:r>
      <w:r w:rsidR="006734CF" w:rsidRPr="006734CF">
        <w:rPr>
          <w:lang w:val="cs-CZ"/>
        </w:rPr>
        <w:t xml:space="preserve"> s</w:t>
      </w:r>
      <w:r w:rsidR="00753E7D" w:rsidRPr="006734CF">
        <w:rPr>
          <w:lang w:val="cs-CZ"/>
        </w:rPr>
        <w:t xml:space="preserve"> 0,6 </w:t>
      </w:r>
      <w:r w:rsidR="006734CF" w:rsidRPr="006734CF">
        <w:rPr>
          <w:lang w:val="cs-CZ"/>
        </w:rPr>
        <w:t>mil</w:t>
      </w:r>
      <w:r w:rsidR="00753E7D" w:rsidRPr="006734CF">
        <w:rPr>
          <w:lang w:val="cs-CZ"/>
        </w:rPr>
        <w:t xml:space="preserve">. € </w:t>
      </w:r>
      <w:r w:rsidR="006734CF" w:rsidRPr="006734CF">
        <w:rPr>
          <w:lang w:val="cs-CZ"/>
        </w:rPr>
        <w:t>pod úrovní předchozího roku</w:t>
      </w:r>
      <w:r w:rsidR="00753E7D" w:rsidRPr="006734CF">
        <w:rPr>
          <w:lang w:val="cs-CZ"/>
        </w:rPr>
        <w:t xml:space="preserve"> (10,6 </w:t>
      </w:r>
      <w:r w:rsidR="006734CF" w:rsidRPr="00BA2331">
        <w:rPr>
          <w:lang w:val="cs-CZ"/>
        </w:rPr>
        <w:t>mil</w:t>
      </w:r>
      <w:r w:rsidR="00753E7D" w:rsidRPr="00BA2331">
        <w:rPr>
          <w:lang w:val="cs-CZ"/>
        </w:rPr>
        <w:t>. €).</w:t>
      </w:r>
      <w:r w:rsidR="00753E7D" w:rsidRPr="00BA2331">
        <w:rPr>
          <w:bCs/>
          <w:lang w:val="cs-CZ"/>
        </w:rPr>
        <w:t xml:space="preserve"> </w:t>
      </w:r>
      <w:r w:rsidR="006734CF" w:rsidRPr="00BA2331">
        <w:rPr>
          <w:bCs/>
          <w:lang w:val="cs-CZ"/>
        </w:rPr>
        <w:t xml:space="preserve">Výsledek koncernu </w:t>
      </w:r>
      <w:r w:rsidR="00753E7D" w:rsidRPr="00BA2331">
        <w:rPr>
          <w:bCs/>
          <w:lang w:val="cs-CZ"/>
        </w:rPr>
        <w:t xml:space="preserve">–2,4 </w:t>
      </w:r>
      <w:r w:rsidR="006734CF" w:rsidRPr="00BA2331">
        <w:rPr>
          <w:bCs/>
          <w:lang w:val="cs-CZ"/>
        </w:rPr>
        <w:t>mil</w:t>
      </w:r>
      <w:r w:rsidR="00753E7D" w:rsidRPr="00BA2331">
        <w:rPr>
          <w:bCs/>
          <w:lang w:val="cs-CZ"/>
        </w:rPr>
        <w:t xml:space="preserve">. € </w:t>
      </w:r>
      <w:r w:rsidR="006734CF" w:rsidRPr="00BA2331">
        <w:rPr>
          <w:bCs/>
          <w:lang w:val="cs-CZ"/>
        </w:rPr>
        <w:t>k 30. červnu odpovídá poměrnému výsledku na akcii</w:t>
      </w:r>
      <w:r w:rsidR="00DC532B" w:rsidRPr="00BA2331">
        <w:rPr>
          <w:bCs/>
          <w:lang w:val="cs-CZ"/>
        </w:rPr>
        <w:t xml:space="preserve"> –0,15 €.</w:t>
      </w:r>
    </w:p>
    <w:p w:rsidR="00A44634" w:rsidRPr="00BA2331" w:rsidRDefault="00151468" w:rsidP="009A1310">
      <w:pPr>
        <w:pStyle w:val="Nadpis3"/>
      </w:pPr>
      <w:r w:rsidRPr="00BA2331">
        <w:t xml:space="preserve">O </w:t>
      </w:r>
      <w:r w:rsidR="00A670BE" w:rsidRPr="00BA2331">
        <w:t xml:space="preserve">4,8 % </w:t>
      </w:r>
      <w:r w:rsidRPr="00BA2331">
        <w:t>vyšší příjem zakázek v segmentu</w:t>
      </w:r>
      <w:r w:rsidR="00CE56BD" w:rsidRPr="00BA2331">
        <w:t xml:space="preserve"> Sheetfed</w:t>
      </w:r>
    </w:p>
    <w:p w:rsidR="00A44634" w:rsidRPr="00BA2331" w:rsidRDefault="00151468" w:rsidP="00F53973">
      <w:pPr>
        <w:spacing w:after="240"/>
        <w:ind w:right="281"/>
        <w:rPr>
          <w:szCs w:val="20"/>
          <w:lang w:val="cs-CZ"/>
        </w:rPr>
      </w:pPr>
      <w:r w:rsidRPr="00BA2331">
        <w:rPr>
          <w:rFonts w:ascii="Arial" w:hAnsi="Arial" w:cs="Arial"/>
          <w:szCs w:val="20"/>
          <w:lang w:val="cs-CZ"/>
        </w:rPr>
        <w:t>V segmentu</w:t>
      </w:r>
      <w:r w:rsidR="003C27FE" w:rsidRPr="00BA2331">
        <w:rPr>
          <w:rFonts w:ascii="Arial" w:hAnsi="Arial" w:cs="Arial"/>
          <w:szCs w:val="20"/>
          <w:lang w:val="cs-CZ"/>
        </w:rPr>
        <w:t xml:space="preserve"> Sheetfed </w:t>
      </w:r>
      <w:r w:rsidRPr="00BA2331">
        <w:rPr>
          <w:rFonts w:ascii="Arial" w:hAnsi="Arial" w:cs="Arial"/>
          <w:szCs w:val="20"/>
          <w:lang w:val="cs-CZ"/>
        </w:rPr>
        <w:t>přispěl k nárůstu zakázek o 4,8 % na 329,0 mil. € úspěšný veletrh</w:t>
      </w:r>
      <w:r w:rsidR="003C27FE" w:rsidRPr="00BA2331">
        <w:rPr>
          <w:rFonts w:ascii="Arial" w:hAnsi="Arial" w:cs="Arial"/>
          <w:szCs w:val="20"/>
          <w:lang w:val="cs-CZ"/>
        </w:rPr>
        <w:t xml:space="preserve"> Print China </w:t>
      </w:r>
      <w:r w:rsidRPr="00BA2331">
        <w:rPr>
          <w:rFonts w:ascii="Arial" w:hAnsi="Arial" w:cs="Arial"/>
          <w:szCs w:val="20"/>
          <w:lang w:val="cs-CZ"/>
        </w:rPr>
        <w:t>v polovině dubna</w:t>
      </w:r>
      <w:r w:rsidR="003C27FE" w:rsidRPr="00BA2331">
        <w:rPr>
          <w:rFonts w:ascii="Arial" w:hAnsi="Arial" w:cs="Arial"/>
          <w:szCs w:val="20"/>
          <w:lang w:val="cs-CZ"/>
        </w:rPr>
        <w:t xml:space="preserve"> (2018: 313,8 </w:t>
      </w:r>
      <w:r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 xml:space="preserve">. €). </w:t>
      </w:r>
      <w:r w:rsidRPr="00BA2331">
        <w:rPr>
          <w:rFonts w:ascii="Arial" w:hAnsi="Arial" w:cs="Arial"/>
          <w:szCs w:val="20"/>
          <w:lang w:val="cs-CZ"/>
        </w:rPr>
        <w:t>Z důvodu expedice byl obrat</w:t>
      </w:r>
      <w:r w:rsidR="003C27FE" w:rsidRPr="00BA2331">
        <w:rPr>
          <w:rFonts w:ascii="Arial" w:hAnsi="Arial" w:cs="Arial"/>
          <w:szCs w:val="20"/>
          <w:lang w:val="cs-CZ"/>
        </w:rPr>
        <w:t xml:space="preserve"> 257,3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 xml:space="preserve">. € </w:t>
      </w:r>
      <w:r w:rsidR="00BA2331" w:rsidRPr="00BA2331">
        <w:rPr>
          <w:rFonts w:ascii="Arial" w:hAnsi="Arial" w:cs="Arial"/>
          <w:szCs w:val="20"/>
          <w:lang w:val="cs-CZ"/>
        </w:rPr>
        <w:t>pod hodnotou předchozího roku</w:t>
      </w:r>
      <w:r w:rsidR="003C27FE" w:rsidRPr="00BA2331">
        <w:rPr>
          <w:rFonts w:ascii="Arial" w:hAnsi="Arial" w:cs="Arial"/>
          <w:szCs w:val="20"/>
          <w:lang w:val="cs-CZ"/>
        </w:rPr>
        <w:t xml:space="preserve"> 270,8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 xml:space="preserve">. €. </w:t>
      </w:r>
      <w:r w:rsidR="00BA2331" w:rsidRPr="00BA2331">
        <w:rPr>
          <w:rFonts w:ascii="Arial" w:hAnsi="Arial" w:cs="Arial"/>
          <w:szCs w:val="20"/>
          <w:lang w:val="cs-CZ"/>
        </w:rPr>
        <w:t>Vysoký stav zakázek ve výši</w:t>
      </w:r>
      <w:r w:rsidR="003C27FE" w:rsidRPr="00BA2331">
        <w:rPr>
          <w:rFonts w:ascii="Arial" w:hAnsi="Arial" w:cs="Arial"/>
          <w:szCs w:val="20"/>
          <w:lang w:val="cs-CZ"/>
        </w:rPr>
        <w:t xml:space="preserve"> 261,6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 xml:space="preserve">. € (2018: 274,7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 xml:space="preserve">. €) </w:t>
      </w:r>
      <w:r w:rsidR="00BA2331" w:rsidRPr="00BA2331">
        <w:rPr>
          <w:rFonts w:ascii="Arial" w:hAnsi="Arial" w:cs="Arial"/>
          <w:szCs w:val="20"/>
          <w:lang w:val="cs-CZ"/>
        </w:rPr>
        <w:t>dále zajišťuje plnou vytíženost kapacity</w:t>
      </w:r>
      <w:r w:rsidR="003C27FE" w:rsidRPr="00BA2331">
        <w:rPr>
          <w:rFonts w:ascii="Arial" w:hAnsi="Arial" w:cs="Arial"/>
          <w:szCs w:val="20"/>
          <w:lang w:val="cs-CZ"/>
        </w:rPr>
        <w:t xml:space="preserve">. </w:t>
      </w:r>
      <w:r w:rsidR="00130939">
        <w:rPr>
          <w:rFonts w:ascii="Arial" w:hAnsi="Arial" w:cs="Arial"/>
          <w:szCs w:val="20"/>
          <w:lang w:val="cs-CZ"/>
        </w:rPr>
        <w:t>Z důvodu</w:t>
      </w:r>
      <w:r w:rsidR="00BA2331" w:rsidRPr="00BA2331">
        <w:rPr>
          <w:rFonts w:ascii="Arial" w:hAnsi="Arial" w:cs="Arial"/>
          <w:szCs w:val="20"/>
          <w:lang w:val="cs-CZ"/>
        </w:rPr>
        <w:t xml:space="preserve"> nižší</w:t>
      </w:r>
      <w:r w:rsidR="00130939">
        <w:rPr>
          <w:rFonts w:ascii="Arial" w:hAnsi="Arial" w:cs="Arial"/>
          <w:szCs w:val="20"/>
          <w:lang w:val="cs-CZ"/>
        </w:rPr>
        <w:t>ho</w:t>
      </w:r>
      <w:r w:rsidR="00BA2331" w:rsidRPr="00BA2331">
        <w:rPr>
          <w:rFonts w:ascii="Arial" w:hAnsi="Arial" w:cs="Arial"/>
          <w:szCs w:val="20"/>
          <w:lang w:val="cs-CZ"/>
        </w:rPr>
        <w:t xml:space="preserve"> obratu, skladb</w:t>
      </w:r>
      <w:r w:rsidR="00130939">
        <w:rPr>
          <w:rFonts w:ascii="Arial" w:hAnsi="Arial" w:cs="Arial"/>
          <w:szCs w:val="20"/>
          <w:lang w:val="cs-CZ"/>
        </w:rPr>
        <w:t>y</w:t>
      </w:r>
      <w:r w:rsidR="00BA2331" w:rsidRPr="00BA2331">
        <w:rPr>
          <w:rFonts w:ascii="Arial" w:hAnsi="Arial" w:cs="Arial"/>
          <w:szCs w:val="20"/>
          <w:lang w:val="cs-CZ"/>
        </w:rPr>
        <w:t xml:space="preserve"> produktů a nákladů na veletrh</w:t>
      </w:r>
      <w:r w:rsidR="003C27FE" w:rsidRPr="00BA2331">
        <w:rPr>
          <w:rFonts w:ascii="Arial" w:hAnsi="Arial" w:cs="Arial"/>
          <w:szCs w:val="20"/>
          <w:lang w:val="cs-CZ"/>
        </w:rPr>
        <w:t xml:space="preserve"> Print China </w:t>
      </w:r>
      <w:r w:rsidR="00BA2331" w:rsidRPr="00BA2331">
        <w:rPr>
          <w:rFonts w:ascii="Arial" w:hAnsi="Arial" w:cs="Arial"/>
          <w:szCs w:val="20"/>
          <w:lang w:val="cs-CZ"/>
        </w:rPr>
        <w:t xml:space="preserve">se </w:t>
      </w:r>
      <w:r w:rsidR="001B318C">
        <w:rPr>
          <w:rFonts w:ascii="Arial" w:hAnsi="Arial" w:cs="Arial"/>
          <w:szCs w:val="20"/>
          <w:lang w:val="cs-CZ"/>
        </w:rPr>
        <w:t>provozní zisk (</w:t>
      </w:r>
      <w:r w:rsidR="003C27FE" w:rsidRPr="00BA2331">
        <w:rPr>
          <w:rFonts w:ascii="Arial" w:hAnsi="Arial" w:cs="Arial"/>
          <w:szCs w:val="20"/>
          <w:lang w:val="cs-CZ"/>
        </w:rPr>
        <w:t>EBIT</w:t>
      </w:r>
      <w:r w:rsidR="001B318C">
        <w:rPr>
          <w:rFonts w:ascii="Arial" w:hAnsi="Arial" w:cs="Arial"/>
          <w:szCs w:val="20"/>
          <w:lang w:val="cs-CZ"/>
        </w:rPr>
        <w:t xml:space="preserve">) s </w:t>
      </w:r>
      <w:r w:rsidR="003C27FE" w:rsidRPr="00BA2331">
        <w:rPr>
          <w:rFonts w:ascii="Arial" w:hAnsi="Arial" w:cs="Arial"/>
          <w:szCs w:val="20"/>
          <w:lang w:val="cs-CZ"/>
        </w:rPr>
        <w:t xml:space="preserve">–1,2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>. €</w:t>
      </w:r>
      <w:r w:rsidR="00BA2331" w:rsidRPr="00BA2331">
        <w:rPr>
          <w:rFonts w:ascii="Arial" w:hAnsi="Arial" w:cs="Arial"/>
          <w:szCs w:val="20"/>
          <w:lang w:val="cs-CZ"/>
        </w:rPr>
        <w:t xml:space="preserve"> nachází pod úrovní předchozího roku</w:t>
      </w:r>
      <w:r w:rsidR="003C27FE" w:rsidRPr="00BA2331">
        <w:rPr>
          <w:rFonts w:ascii="Arial" w:hAnsi="Arial" w:cs="Arial"/>
          <w:szCs w:val="20"/>
          <w:lang w:val="cs-CZ"/>
        </w:rPr>
        <w:t xml:space="preserve"> (8,1 </w:t>
      </w:r>
      <w:r w:rsidR="00BA2331" w:rsidRPr="00BA2331">
        <w:rPr>
          <w:rFonts w:ascii="Arial" w:hAnsi="Arial" w:cs="Arial"/>
          <w:szCs w:val="20"/>
          <w:lang w:val="cs-CZ"/>
        </w:rPr>
        <w:t>mil</w:t>
      </w:r>
      <w:r w:rsidR="003C27FE" w:rsidRPr="00BA2331">
        <w:rPr>
          <w:rFonts w:ascii="Arial" w:hAnsi="Arial" w:cs="Arial"/>
          <w:szCs w:val="20"/>
          <w:lang w:val="cs-CZ"/>
        </w:rPr>
        <w:t>. €)</w:t>
      </w:r>
    </w:p>
    <w:p w:rsidR="00A44634" w:rsidRPr="00E960DA" w:rsidRDefault="00BA2331" w:rsidP="009A1310">
      <w:pPr>
        <w:pStyle w:val="Nadpis3"/>
      </w:pPr>
      <w:r w:rsidRPr="00E960DA">
        <w:t>Digital &amp; Web s plusem na zakázkách i obratu</w:t>
      </w:r>
    </w:p>
    <w:p w:rsidR="00A44634" w:rsidRPr="00E960DA" w:rsidRDefault="00BA2331" w:rsidP="00A44634">
      <w:pPr>
        <w:spacing w:after="240"/>
        <w:rPr>
          <w:szCs w:val="20"/>
          <w:lang w:val="cs-CZ"/>
        </w:rPr>
      </w:pPr>
      <w:r w:rsidRPr="00E960DA">
        <w:rPr>
          <w:rFonts w:ascii="Arial" w:hAnsi="Arial" w:cs="Arial"/>
          <w:szCs w:val="20"/>
          <w:lang w:val="cs-CZ"/>
        </w:rPr>
        <w:t>V segmentu</w:t>
      </w:r>
      <w:r w:rsidR="003C27FE" w:rsidRPr="00E960DA">
        <w:rPr>
          <w:rFonts w:ascii="Arial" w:hAnsi="Arial" w:cs="Arial"/>
          <w:szCs w:val="20"/>
          <w:lang w:val="cs-CZ"/>
        </w:rPr>
        <w:t xml:space="preserve"> Digital &amp; Web </w:t>
      </w:r>
      <w:r w:rsidRPr="00E960DA">
        <w:rPr>
          <w:rFonts w:ascii="Arial" w:hAnsi="Arial" w:cs="Arial"/>
          <w:szCs w:val="20"/>
          <w:lang w:val="cs-CZ"/>
        </w:rPr>
        <w:t>stoupl objem přijatých zakázek</w:t>
      </w:r>
      <w:r w:rsidR="00E960DA">
        <w:rPr>
          <w:rFonts w:ascii="Arial" w:hAnsi="Arial" w:cs="Arial"/>
          <w:szCs w:val="20"/>
          <w:lang w:val="cs-CZ"/>
        </w:rPr>
        <w:t xml:space="preserve"> </w:t>
      </w:r>
      <w:r w:rsidR="00E960DA" w:rsidRPr="00E960DA">
        <w:rPr>
          <w:rFonts w:ascii="Arial" w:hAnsi="Arial" w:cs="Arial"/>
          <w:szCs w:val="20"/>
          <w:lang w:val="cs-CZ"/>
        </w:rPr>
        <w:t>z</w:t>
      </w:r>
      <w:r w:rsidR="003C27FE" w:rsidRPr="00E960DA">
        <w:rPr>
          <w:rFonts w:ascii="Arial" w:hAnsi="Arial" w:cs="Arial"/>
          <w:szCs w:val="20"/>
          <w:lang w:val="cs-CZ"/>
        </w:rPr>
        <w:t xml:space="preserve"> 82,0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 </w:t>
      </w:r>
      <w:r w:rsidR="00E960DA" w:rsidRPr="00E960DA">
        <w:rPr>
          <w:rFonts w:ascii="Arial" w:hAnsi="Arial" w:cs="Arial"/>
          <w:szCs w:val="20"/>
          <w:lang w:val="cs-CZ"/>
        </w:rPr>
        <w:t>v předchozím roce na</w:t>
      </w:r>
      <w:r w:rsidR="003C27FE" w:rsidRPr="00E960DA">
        <w:rPr>
          <w:rFonts w:ascii="Arial" w:hAnsi="Arial" w:cs="Arial"/>
          <w:szCs w:val="20"/>
          <w:lang w:val="cs-CZ"/>
        </w:rPr>
        <w:t xml:space="preserve"> 89,9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€. </w:t>
      </w:r>
      <w:r w:rsidR="00E960DA" w:rsidRPr="00E960DA">
        <w:rPr>
          <w:rFonts w:ascii="Arial" w:hAnsi="Arial" w:cs="Arial"/>
          <w:szCs w:val="20"/>
          <w:lang w:val="cs-CZ"/>
        </w:rPr>
        <w:t>Nár</w:t>
      </w:r>
      <w:r w:rsidR="00E960DA" w:rsidRPr="00E960DA">
        <w:rPr>
          <w:rStyle w:val="tlid-translation"/>
          <w:lang w:val="cs-CZ"/>
        </w:rPr>
        <w:t xml:space="preserve">ůst objednávek flexibilního potisku obalů a vyšší prodej strojů pro novinový tisk a digitální tisk dekorů více než vykompenzoval klesající </w:t>
      </w:r>
      <w:r w:rsidR="001B318C">
        <w:rPr>
          <w:rStyle w:val="tlid-translation"/>
          <w:lang w:val="cs-CZ"/>
        </w:rPr>
        <w:t xml:space="preserve">objem </w:t>
      </w:r>
      <w:r w:rsidR="00E960DA" w:rsidRPr="00E960DA">
        <w:rPr>
          <w:rStyle w:val="tlid-translation"/>
          <w:lang w:val="cs-CZ"/>
        </w:rPr>
        <w:t>servisní</w:t>
      </w:r>
      <w:r w:rsidR="001B318C">
        <w:rPr>
          <w:rStyle w:val="tlid-translation"/>
          <w:lang w:val="cs-CZ"/>
        </w:rPr>
        <w:t>ch</w:t>
      </w:r>
      <w:r w:rsidR="00E960DA" w:rsidRPr="00E960DA">
        <w:rPr>
          <w:rStyle w:val="tlid-translation"/>
          <w:lang w:val="cs-CZ"/>
        </w:rPr>
        <w:t xml:space="preserve"> služ</w:t>
      </w:r>
      <w:r w:rsidR="001B318C">
        <w:rPr>
          <w:rStyle w:val="tlid-translation"/>
          <w:lang w:val="cs-CZ"/>
        </w:rPr>
        <w:t>e</w:t>
      </w:r>
      <w:r w:rsidR="00E960DA" w:rsidRPr="00E960DA">
        <w:rPr>
          <w:rStyle w:val="tlid-translation"/>
          <w:lang w:val="cs-CZ"/>
        </w:rPr>
        <w:t>b u ofsetových rotaček pro novinový a akcidenční tisk</w:t>
      </w:r>
      <w:r w:rsidR="003C27FE" w:rsidRPr="00E960DA">
        <w:rPr>
          <w:rFonts w:ascii="Arial" w:hAnsi="Arial" w:cs="Arial"/>
          <w:szCs w:val="20"/>
          <w:lang w:val="cs-CZ"/>
        </w:rPr>
        <w:t xml:space="preserve">. </w:t>
      </w:r>
      <w:r w:rsidR="00E960DA" w:rsidRPr="00E960DA">
        <w:rPr>
          <w:rFonts w:ascii="Arial" w:hAnsi="Arial" w:cs="Arial"/>
          <w:szCs w:val="20"/>
          <w:lang w:val="cs-CZ"/>
        </w:rPr>
        <w:t>Zatímco se obrat zvýšil z</w:t>
      </w:r>
      <w:r w:rsidR="003C27FE" w:rsidRPr="00E960DA">
        <w:rPr>
          <w:rFonts w:ascii="Arial" w:hAnsi="Arial" w:cs="Arial"/>
          <w:szCs w:val="20"/>
          <w:lang w:val="cs-CZ"/>
        </w:rPr>
        <w:t xml:space="preserve"> 58,1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 </w:t>
      </w:r>
      <w:r w:rsidR="00E960DA" w:rsidRPr="00E960DA">
        <w:rPr>
          <w:rFonts w:ascii="Arial" w:hAnsi="Arial" w:cs="Arial"/>
          <w:szCs w:val="20"/>
          <w:lang w:val="cs-CZ"/>
        </w:rPr>
        <w:t>na</w:t>
      </w:r>
      <w:r w:rsidR="003C27FE" w:rsidRPr="00E960DA">
        <w:rPr>
          <w:rFonts w:ascii="Arial" w:hAnsi="Arial" w:cs="Arial"/>
          <w:szCs w:val="20"/>
          <w:lang w:val="cs-CZ"/>
        </w:rPr>
        <w:t xml:space="preserve"> 64,5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€, </w:t>
      </w:r>
      <w:r w:rsidR="00E960DA" w:rsidRPr="00E960DA">
        <w:rPr>
          <w:rFonts w:ascii="Arial" w:hAnsi="Arial" w:cs="Arial"/>
          <w:szCs w:val="20"/>
          <w:lang w:val="cs-CZ"/>
        </w:rPr>
        <w:t>stav přijatých zakázek významně vzrostl z</w:t>
      </w:r>
      <w:r w:rsidR="003C27FE" w:rsidRPr="00E960DA">
        <w:rPr>
          <w:rFonts w:ascii="Arial" w:hAnsi="Arial" w:cs="Arial"/>
          <w:szCs w:val="20"/>
          <w:lang w:val="cs-CZ"/>
        </w:rPr>
        <w:t xml:space="preserve"> 86,4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 </w:t>
      </w:r>
      <w:r w:rsidR="00E960DA" w:rsidRPr="00E960DA">
        <w:rPr>
          <w:rFonts w:ascii="Arial" w:hAnsi="Arial" w:cs="Arial"/>
          <w:szCs w:val="20"/>
          <w:lang w:val="cs-CZ"/>
        </w:rPr>
        <w:t>na</w:t>
      </w:r>
      <w:r w:rsidR="003C27FE" w:rsidRPr="00E960DA">
        <w:rPr>
          <w:rFonts w:ascii="Arial" w:hAnsi="Arial" w:cs="Arial"/>
          <w:szCs w:val="20"/>
          <w:lang w:val="cs-CZ"/>
        </w:rPr>
        <w:t xml:space="preserve"> 111,2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€. </w:t>
      </w:r>
      <w:r w:rsidR="001B318C">
        <w:rPr>
          <w:rFonts w:ascii="Arial" w:hAnsi="Arial" w:cs="Arial"/>
          <w:szCs w:val="20"/>
          <w:lang w:val="cs-CZ"/>
        </w:rPr>
        <w:t>Provozní zisk (</w:t>
      </w:r>
      <w:r w:rsidR="00E960DA" w:rsidRPr="00E960DA">
        <w:rPr>
          <w:rFonts w:ascii="Arial" w:hAnsi="Arial" w:cs="Arial"/>
          <w:szCs w:val="20"/>
          <w:lang w:val="cs-CZ"/>
        </w:rPr>
        <w:t>EBIT</w:t>
      </w:r>
      <w:r w:rsidR="001B318C">
        <w:rPr>
          <w:rFonts w:ascii="Arial" w:hAnsi="Arial" w:cs="Arial"/>
          <w:szCs w:val="20"/>
          <w:lang w:val="cs-CZ"/>
        </w:rPr>
        <w:t>)</w:t>
      </w:r>
      <w:r w:rsidR="00E960DA" w:rsidRPr="00E960DA">
        <w:rPr>
          <w:rFonts w:ascii="Arial" w:hAnsi="Arial" w:cs="Arial"/>
          <w:szCs w:val="20"/>
          <w:lang w:val="cs-CZ"/>
        </w:rPr>
        <w:t xml:space="preserve"> zatížen</w:t>
      </w:r>
      <w:r w:rsidR="00130939">
        <w:rPr>
          <w:rFonts w:ascii="Arial" w:hAnsi="Arial" w:cs="Arial"/>
          <w:szCs w:val="20"/>
          <w:lang w:val="cs-CZ"/>
        </w:rPr>
        <w:t>ý</w:t>
      </w:r>
      <w:r w:rsidR="00E960DA" w:rsidRPr="00E960DA">
        <w:rPr>
          <w:rFonts w:ascii="Arial" w:hAnsi="Arial" w:cs="Arial"/>
          <w:szCs w:val="20"/>
          <w:lang w:val="cs-CZ"/>
        </w:rPr>
        <w:t xml:space="preserve"> výdaji na vstup na trh a růst </w:t>
      </w:r>
      <w:r w:rsidR="00754EDF" w:rsidRPr="00E960DA">
        <w:rPr>
          <w:rFonts w:ascii="Arial" w:hAnsi="Arial" w:cs="Arial"/>
          <w:szCs w:val="20"/>
          <w:lang w:val="cs-CZ"/>
        </w:rPr>
        <w:t>činil – 11,1</w:t>
      </w:r>
      <w:r w:rsidR="003C27FE" w:rsidRPr="00E960DA">
        <w:rPr>
          <w:rFonts w:ascii="Arial" w:hAnsi="Arial" w:cs="Arial"/>
          <w:szCs w:val="20"/>
          <w:lang w:val="cs-CZ"/>
        </w:rPr>
        <w:t xml:space="preserve">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 </w:t>
      </w:r>
      <w:r w:rsidR="00E960DA" w:rsidRPr="00E960DA">
        <w:rPr>
          <w:rFonts w:ascii="Arial" w:hAnsi="Arial" w:cs="Arial"/>
          <w:szCs w:val="20"/>
          <w:lang w:val="cs-CZ"/>
        </w:rPr>
        <w:t>oproti</w:t>
      </w:r>
      <w:r w:rsidR="003C27FE" w:rsidRPr="00E960DA">
        <w:rPr>
          <w:rFonts w:ascii="Arial" w:hAnsi="Arial" w:cs="Arial"/>
          <w:szCs w:val="20"/>
          <w:lang w:val="cs-CZ"/>
        </w:rPr>
        <w:t xml:space="preserve"> –9,9 </w:t>
      </w:r>
      <w:r w:rsidR="00E960DA" w:rsidRPr="00E960DA">
        <w:rPr>
          <w:rFonts w:ascii="Arial" w:hAnsi="Arial" w:cs="Arial"/>
          <w:szCs w:val="20"/>
          <w:lang w:val="cs-CZ"/>
        </w:rPr>
        <w:t>mil</w:t>
      </w:r>
      <w:r w:rsidR="003C27FE" w:rsidRPr="00E960DA">
        <w:rPr>
          <w:rFonts w:ascii="Arial" w:hAnsi="Arial" w:cs="Arial"/>
          <w:szCs w:val="20"/>
          <w:lang w:val="cs-CZ"/>
        </w:rPr>
        <w:t xml:space="preserve">. € </w:t>
      </w:r>
      <w:r w:rsidR="00E960DA" w:rsidRPr="00E960DA">
        <w:rPr>
          <w:rFonts w:ascii="Arial" w:hAnsi="Arial" w:cs="Arial"/>
          <w:szCs w:val="20"/>
          <w:lang w:val="cs-CZ"/>
        </w:rPr>
        <w:t>v předešlém roce</w:t>
      </w:r>
      <w:r w:rsidR="00CE56BD" w:rsidRPr="00E960DA">
        <w:rPr>
          <w:rFonts w:ascii="Arial" w:hAnsi="Arial" w:cs="Arial"/>
          <w:szCs w:val="20"/>
          <w:lang w:val="cs-CZ"/>
        </w:rPr>
        <w:t>.</w:t>
      </w:r>
    </w:p>
    <w:p w:rsidR="00A44634" w:rsidRPr="00E9035D" w:rsidRDefault="00E960DA" w:rsidP="009A1310">
      <w:pPr>
        <w:pStyle w:val="Nadpis3"/>
      </w:pPr>
      <w:r w:rsidRPr="00E9035D">
        <w:t xml:space="preserve">O </w:t>
      </w:r>
      <w:r w:rsidR="003C27FE" w:rsidRPr="00E9035D">
        <w:t xml:space="preserve">3,7 % </w:t>
      </w:r>
      <w:r w:rsidRPr="00E9035D">
        <w:t>vyšší obrat v segmentu</w:t>
      </w:r>
      <w:r w:rsidR="00A44634" w:rsidRPr="00E9035D">
        <w:t xml:space="preserve"> Special</w:t>
      </w:r>
    </w:p>
    <w:p w:rsidR="00A44634" w:rsidRPr="00E9035D" w:rsidRDefault="00CD37A1" w:rsidP="00780DE4">
      <w:pPr>
        <w:spacing w:after="240"/>
        <w:ind w:right="139"/>
        <w:rPr>
          <w:szCs w:val="20"/>
          <w:lang w:val="cs-CZ"/>
        </w:rPr>
      </w:pPr>
      <w:r w:rsidRPr="00E9035D">
        <w:rPr>
          <w:rFonts w:ascii="Arial" w:hAnsi="Arial" w:cs="Arial"/>
          <w:szCs w:val="20"/>
          <w:lang w:val="cs-CZ"/>
        </w:rPr>
        <w:t>V segmentu</w:t>
      </w:r>
      <w:r w:rsidR="003C27FE" w:rsidRPr="00E9035D">
        <w:rPr>
          <w:rFonts w:ascii="Arial" w:hAnsi="Arial" w:cs="Arial"/>
          <w:szCs w:val="20"/>
          <w:lang w:val="cs-CZ"/>
        </w:rPr>
        <w:t xml:space="preserve"> Special</w:t>
      </w:r>
      <w:r w:rsidRPr="00E9035D">
        <w:rPr>
          <w:rFonts w:ascii="Arial" w:hAnsi="Arial" w:cs="Arial"/>
          <w:szCs w:val="20"/>
          <w:lang w:val="cs-CZ"/>
        </w:rPr>
        <w:t xml:space="preserve"> se příjem zakázek v hodnotě</w:t>
      </w:r>
      <w:r w:rsidR="003C27FE" w:rsidRPr="00E9035D">
        <w:rPr>
          <w:rFonts w:ascii="Arial" w:hAnsi="Arial" w:cs="Arial"/>
          <w:szCs w:val="20"/>
          <w:lang w:val="cs-CZ"/>
        </w:rPr>
        <w:t xml:space="preserve"> 174,5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>. €</w:t>
      </w:r>
      <w:r w:rsidRPr="00E9035D">
        <w:rPr>
          <w:rFonts w:ascii="Arial" w:hAnsi="Arial" w:cs="Arial"/>
          <w:szCs w:val="20"/>
          <w:lang w:val="cs-CZ"/>
        </w:rPr>
        <w:t xml:space="preserve"> nacházel pod úrovní předchozího roku</w:t>
      </w:r>
      <w:r w:rsidR="003C27FE" w:rsidRPr="00E9035D">
        <w:rPr>
          <w:rFonts w:ascii="Arial" w:hAnsi="Arial" w:cs="Arial"/>
          <w:szCs w:val="20"/>
          <w:lang w:val="cs-CZ"/>
        </w:rPr>
        <w:t xml:space="preserve"> 330,2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>. €</w:t>
      </w:r>
      <w:r w:rsidRPr="00E9035D">
        <w:rPr>
          <w:rFonts w:ascii="Arial" w:hAnsi="Arial" w:cs="Arial"/>
          <w:szCs w:val="20"/>
          <w:lang w:val="cs-CZ"/>
        </w:rPr>
        <w:t>, která byla ovlivněna velkou zakázkou</w:t>
      </w:r>
      <w:r w:rsidR="003C27FE" w:rsidRPr="00E9035D">
        <w:rPr>
          <w:rFonts w:ascii="Arial" w:hAnsi="Arial" w:cs="Arial"/>
          <w:szCs w:val="20"/>
          <w:lang w:val="cs-CZ"/>
        </w:rPr>
        <w:t xml:space="preserve">. </w:t>
      </w:r>
      <w:r w:rsidRPr="00E9035D">
        <w:rPr>
          <w:rFonts w:ascii="Arial" w:hAnsi="Arial" w:cs="Arial"/>
          <w:szCs w:val="20"/>
          <w:lang w:val="cs-CZ"/>
        </w:rPr>
        <w:t>Velké zakázky takového objemu nejsou ani v oblasti tisku cenných papírů obvyklé</w:t>
      </w:r>
      <w:r w:rsidR="003C27FE" w:rsidRPr="00E9035D">
        <w:rPr>
          <w:rFonts w:ascii="Arial" w:hAnsi="Arial" w:cs="Arial"/>
          <w:szCs w:val="20"/>
          <w:lang w:val="cs-CZ"/>
        </w:rPr>
        <w:t xml:space="preserve">. </w:t>
      </w:r>
      <w:r w:rsidRPr="00E9035D">
        <w:rPr>
          <w:rFonts w:ascii="Arial" w:hAnsi="Arial" w:cs="Arial"/>
          <w:szCs w:val="20"/>
          <w:lang w:val="cs-CZ"/>
        </w:rPr>
        <w:t>Obrat vzrostl z</w:t>
      </w:r>
      <w:r w:rsidR="003C27FE" w:rsidRPr="00E9035D">
        <w:rPr>
          <w:rFonts w:ascii="Arial" w:hAnsi="Arial" w:cs="Arial"/>
          <w:szCs w:val="20"/>
          <w:lang w:val="cs-CZ"/>
        </w:rPr>
        <w:t xml:space="preserve"> 196,3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 xml:space="preserve">. € </w:t>
      </w:r>
      <w:r w:rsidRPr="00E9035D">
        <w:rPr>
          <w:rFonts w:ascii="Arial" w:hAnsi="Arial" w:cs="Arial"/>
          <w:szCs w:val="20"/>
          <w:lang w:val="cs-CZ"/>
        </w:rPr>
        <w:t>na</w:t>
      </w:r>
      <w:r w:rsidR="003C27FE" w:rsidRPr="00E9035D">
        <w:rPr>
          <w:rFonts w:ascii="Arial" w:hAnsi="Arial" w:cs="Arial"/>
          <w:szCs w:val="20"/>
          <w:lang w:val="cs-CZ"/>
        </w:rPr>
        <w:t xml:space="preserve"> 203,6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 xml:space="preserve">. €. </w:t>
      </w:r>
      <w:r w:rsidRPr="00E9035D">
        <w:rPr>
          <w:rFonts w:ascii="Arial" w:hAnsi="Arial" w:cs="Arial"/>
          <w:szCs w:val="20"/>
          <w:lang w:val="cs-CZ"/>
        </w:rPr>
        <w:t xml:space="preserve">Oproti </w:t>
      </w:r>
      <w:r w:rsidR="003C27FE" w:rsidRPr="00E9035D">
        <w:rPr>
          <w:rFonts w:ascii="Arial" w:hAnsi="Arial" w:cs="Arial"/>
          <w:szCs w:val="20"/>
          <w:lang w:val="cs-CZ"/>
        </w:rPr>
        <w:t xml:space="preserve">14,7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 xml:space="preserve">. € </w:t>
      </w:r>
      <w:r w:rsidRPr="00E9035D">
        <w:rPr>
          <w:rFonts w:ascii="Arial" w:hAnsi="Arial" w:cs="Arial"/>
          <w:szCs w:val="20"/>
          <w:lang w:val="cs-CZ"/>
        </w:rPr>
        <w:t xml:space="preserve">v předchozím roce </w:t>
      </w:r>
      <w:r w:rsidR="00130939">
        <w:rPr>
          <w:rFonts w:ascii="Arial" w:hAnsi="Arial" w:cs="Arial"/>
          <w:szCs w:val="20"/>
          <w:lang w:val="cs-CZ"/>
        </w:rPr>
        <w:t>byl v</w:t>
      </w:r>
      <w:r w:rsidRPr="00E9035D">
        <w:rPr>
          <w:rFonts w:ascii="Arial" w:hAnsi="Arial" w:cs="Arial"/>
          <w:szCs w:val="20"/>
          <w:lang w:val="cs-CZ"/>
        </w:rPr>
        <w:t>yk</w:t>
      </w:r>
      <w:r w:rsidR="00130939">
        <w:rPr>
          <w:rFonts w:ascii="Arial" w:hAnsi="Arial" w:cs="Arial"/>
          <w:szCs w:val="20"/>
          <w:lang w:val="cs-CZ"/>
        </w:rPr>
        <w:t>ázán</w:t>
      </w:r>
      <w:r w:rsidRPr="00E9035D">
        <w:rPr>
          <w:rFonts w:ascii="Arial" w:hAnsi="Arial" w:cs="Arial"/>
          <w:szCs w:val="20"/>
          <w:lang w:val="cs-CZ"/>
        </w:rPr>
        <w:t xml:space="preserve"> za první polovinu roku</w:t>
      </w:r>
      <w:r w:rsidR="003C27FE" w:rsidRPr="00E9035D">
        <w:rPr>
          <w:rFonts w:ascii="Arial" w:hAnsi="Arial" w:cs="Arial"/>
          <w:szCs w:val="20"/>
          <w:lang w:val="cs-CZ"/>
        </w:rPr>
        <w:t xml:space="preserve"> 2019 </w:t>
      </w:r>
      <w:r w:rsidR="00754EDF">
        <w:rPr>
          <w:rFonts w:ascii="Arial" w:hAnsi="Arial" w:cs="Arial"/>
          <w:szCs w:val="20"/>
          <w:lang w:val="cs-CZ"/>
        </w:rPr>
        <w:t>provozní zisk (</w:t>
      </w:r>
      <w:r w:rsidR="003C27FE" w:rsidRPr="00E9035D">
        <w:rPr>
          <w:rFonts w:ascii="Arial" w:hAnsi="Arial" w:cs="Arial"/>
          <w:szCs w:val="20"/>
          <w:lang w:val="cs-CZ"/>
        </w:rPr>
        <w:t>EBIT</w:t>
      </w:r>
      <w:r w:rsidR="00754EDF">
        <w:rPr>
          <w:rFonts w:ascii="Arial" w:hAnsi="Arial" w:cs="Arial"/>
          <w:szCs w:val="20"/>
          <w:lang w:val="cs-CZ"/>
        </w:rPr>
        <w:t>)</w:t>
      </w:r>
      <w:r w:rsidR="003C27FE" w:rsidRPr="00E9035D">
        <w:rPr>
          <w:rFonts w:ascii="Arial" w:hAnsi="Arial" w:cs="Arial"/>
          <w:szCs w:val="20"/>
          <w:lang w:val="cs-CZ"/>
        </w:rPr>
        <w:t xml:space="preserve"> </w:t>
      </w:r>
      <w:r w:rsidRPr="00E9035D">
        <w:rPr>
          <w:rFonts w:ascii="Arial" w:hAnsi="Arial" w:cs="Arial"/>
          <w:szCs w:val="20"/>
          <w:lang w:val="cs-CZ"/>
        </w:rPr>
        <w:t>ve výši</w:t>
      </w:r>
      <w:r w:rsidR="003C27FE" w:rsidRPr="00E9035D">
        <w:rPr>
          <w:rFonts w:ascii="Arial" w:hAnsi="Arial" w:cs="Arial"/>
          <w:szCs w:val="20"/>
          <w:lang w:val="cs-CZ"/>
        </w:rPr>
        <w:t xml:space="preserve"> 6,4 </w:t>
      </w:r>
      <w:r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 xml:space="preserve">. €. </w:t>
      </w:r>
      <w:r w:rsidR="00E9035D" w:rsidRPr="00E9035D">
        <w:rPr>
          <w:rFonts w:ascii="Arial" w:hAnsi="Arial" w:cs="Arial"/>
          <w:szCs w:val="20"/>
          <w:lang w:val="cs-CZ"/>
        </w:rPr>
        <w:t xml:space="preserve">Stav zakázek a využití kapacity </w:t>
      </w:r>
      <w:r w:rsidR="00130939">
        <w:rPr>
          <w:rFonts w:ascii="Arial" w:hAnsi="Arial" w:cs="Arial"/>
          <w:szCs w:val="20"/>
          <w:lang w:val="cs-CZ"/>
        </w:rPr>
        <w:t>se pohybují s hodnotou</w:t>
      </w:r>
      <w:r w:rsidR="00E9035D" w:rsidRPr="00E9035D">
        <w:rPr>
          <w:rFonts w:ascii="Arial" w:hAnsi="Arial" w:cs="Arial"/>
          <w:szCs w:val="20"/>
          <w:lang w:val="cs-CZ"/>
        </w:rPr>
        <w:t xml:space="preserve"> </w:t>
      </w:r>
      <w:r w:rsidR="003C27FE" w:rsidRPr="00E9035D">
        <w:rPr>
          <w:rFonts w:ascii="Arial" w:hAnsi="Arial" w:cs="Arial"/>
          <w:szCs w:val="20"/>
          <w:lang w:val="cs-CZ"/>
        </w:rPr>
        <w:t xml:space="preserve">315,5 </w:t>
      </w:r>
      <w:r w:rsidR="00E9035D"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 xml:space="preserve">. € </w:t>
      </w:r>
      <w:r w:rsidR="00E9035D" w:rsidRPr="00E9035D">
        <w:rPr>
          <w:rFonts w:ascii="Arial" w:hAnsi="Arial" w:cs="Arial"/>
          <w:szCs w:val="20"/>
          <w:lang w:val="cs-CZ"/>
        </w:rPr>
        <w:t>na vysoké úr</w:t>
      </w:r>
      <w:r w:rsidR="00E9035D">
        <w:rPr>
          <w:rFonts w:ascii="Arial" w:hAnsi="Arial" w:cs="Arial"/>
          <w:szCs w:val="20"/>
          <w:lang w:val="cs-CZ"/>
        </w:rPr>
        <w:t>o</w:t>
      </w:r>
      <w:r w:rsidR="00E9035D" w:rsidRPr="00E9035D">
        <w:rPr>
          <w:rFonts w:ascii="Arial" w:hAnsi="Arial" w:cs="Arial"/>
          <w:szCs w:val="20"/>
          <w:lang w:val="cs-CZ"/>
        </w:rPr>
        <w:t>vni</w:t>
      </w:r>
      <w:r w:rsidR="003C27FE" w:rsidRPr="00E9035D">
        <w:rPr>
          <w:rFonts w:ascii="Arial" w:hAnsi="Arial" w:cs="Arial"/>
          <w:szCs w:val="20"/>
          <w:lang w:val="cs-CZ"/>
        </w:rPr>
        <w:t xml:space="preserve"> (2018: 464,8 </w:t>
      </w:r>
      <w:r w:rsidR="00E9035D" w:rsidRPr="00E9035D">
        <w:rPr>
          <w:rFonts w:ascii="Arial" w:hAnsi="Arial" w:cs="Arial"/>
          <w:szCs w:val="20"/>
          <w:lang w:val="cs-CZ"/>
        </w:rPr>
        <w:t>mil</w:t>
      </w:r>
      <w:r w:rsidR="003C27FE" w:rsidRPr="00E9035D">
        <w:rPr>
          <w:rFonts w:ascii="Arial" w:hAnsi="Arial" w:cs="Arial"/>
          <w:szCs w:val="20"/>
          <w:lang w:val="cs-CZ"/>
        </w:rPr>
        <w:t>. €)</w:t>
      </w:r>
      <w:r w:rsidR="00CE56BD" w:rsidRPr="00E9035D">
        <w:rPr>
          <w:rFonts w:ascii="Arial" w:hAnsi="Arial" w:cs="Arial"/>
          <w:szCs w:val="20"/>
          <w:lang w:val="cs-CZ"/>
        </w:rPr>
        <w:t>.</w:t>
      </w:r>
    </w:p>
    <w:p w:rsidR="00A44634" w:rsidRPr="00E9035D" w:rsidRDefault="00E9035D" w:rsidP="009A1310">
      <w:pPr>
        <w:pStyle w:val="Nadpis3"/>
      </w:pPr>
      <w:r w:rsidRPr="00E9035D">
        <w:t>Podíl vlastního kapitálu</w:t>
      </w:r>
      <w:r w:rsidR="00A5372F" w:rsidRPr="00E9035D">
        <w:t xml:space="preserve"> 33,8 %</w:t>
      </w:r>
    </w:p>
    <w:p w:rsidR="00A44634" w:rsidRPr="0016673A" w:rsidRDefault="00E9035D" w:rsidP="00A44634">
      <w:pPr>
        <w:spacing w:after="240"/>
        <w:rPr>
          <w:lang w:val="cs-CZ"/>
        </w:rPr>
      </w:pPr>
      <w:r w:rsidRPr="00E9035D">
        <w:rPr>
          <w:rStyle w:val="tlid-translation"/>
          <w:lang w:val="cs-CZ"/>
        </w:rPr>
        <w:t xml:space="preserve">I přes nižší obchodní pohledávky a </w:t>
      </w:r>
      <w:r>
        <w:rPr>
          <w:rStyle w:val="tlid-translation"/>
          <w:lang w:val="cs-CZ"/>
        </w:rPr>
        <w:t xml:space="preserve">narůstající </w:t>
      </w:r>
      <w:r w:rsidRPr="00E9035D">
        <w:rPr>
          <w:rStyle w:val="tlid-translation"/>
          <w:lang w:val="cs-CZ"/>
        </w:rPr>
        <w:t>zálohy zákazníků</w:t>
      </w:r>
      <w:r>
        <w:rPr>
          <w:rStyle w:val="tlid-translation"/>
          <w:lang w:val="cs-CZ"/>
        </w:rPr>
        <w:t xml:space="preserve"> měly</w:t>
      </w:r>
      <w:r w:rsidRPr="00E9035D">
        <w:rPr>
          <w:rStyle w:val="tlid-translation"/>
          <w:lang w:val="cs-CZ"/>
        </w:rPr>
        <w:t xml:space="preserve"> vyšší zásoby na růst </w:t>
      </w:r>
      <w:r>
        <w:rPr>
          <w:rStyle w:val="tlid-translation"/>
          <w:lang w:val="cs-CZ"/>
        </w:rPr>
        <w:t>obratu</w:t>
      </w:r>
      <w:r w:rsidRPr="00E9035D">
        <w:rPr>
          <w:rStyle w:val="tlid-translation"/>
          <w:lang w:val="cs-CZ"/>
        </w:rPr>
        <w:t xml:space="preserve"> v následujících čtvrtletích a vysoké investice do stavebn</w:t>
      </w:r>
      <w:r>
        <w:rPr>
          <w:rStyle w:val="tlid-translation"/>
          <w:lang w:val="cs-CZ"/>
        </w:rPr>
        <w:t xml:space="preserve">ích projektů a </w:t>
      </w:r>
      <w:r w:rsidRPr="00E9035D">
        <w:rPr>
          <w:rStyle w:val="tlid-translation"/>
          <w:lang w:val="cs-CZ"/>
        </w:rPr>
        <w:t>IT významný dopad na cash flow</w:t>
      </w:r>
      <w:r w:rsidR="00F53973" w:rsidRPr="00E9035D">
        <w:rPr>
          <w:lang w:val="cs-CZ"/>
        </w:rPr>
        <w:t xml:space="preserve">. </w:t>
      </w:r>
      <w:r>
        <w:rPr>
          <w:lang w:val="cs-CZ"/>
        </w:rPr>
        <w:t>Díky</w:t>
      </w:r>
      <w:r w:rsidRPr="0016673A">
        <w:rPr>
          <w:rStyle w:val="tlid-translation"/>
          <w:lang w:val="cs-CZ"/>
        </w:rPr>
        <w:t xml:space="preserve"> syndikované dlouhodobé úvěrové lince má </w:t>
      </w:r>
      <w:r w:rsidR="0016673A" w:rsidRPr="0016673A">
        <w:rPr>
          <w:rStyle w:val="tlid-translation"/>
          <w:lang w:val="cs-CZ"/>
        </w:rPr>
        <w:t xml:space="preserve">společnost </w:t>
      </w:r>
      <w:r w:rsidRPr="0016673A">
        <w:rPr>
          <w:rStyle w:val="tlid-translation"/>
          <w:lang w:val="cs-CZ"/>
        </w:rPr>
        <w:t xml:space="preserve">Koenig &amp; Bauer </w:t>
      </w:r>
      <w:r w:rsidR="0016673A" w:rsidRPr="0016673A">
        <w:rPr>
          <w:rStyle w:val="tlid-translation"/>
          <w:lang w:val="cs-CZ"/>
        </w:rPr>
        <w:t>dobrou</w:t>
      </w:r>
      <w:r w:rsidRPr="0016673A">
        <w:rPr>
          <w:rStyle w:val="tlid-translation"/>
          <w:lang w:val="cs-CZ"/>
        </w:rPr>
        <w:t xml:space="preserve"> a stabilní finanční základnu.</w:t>
      </w:r>
      <w:r w:rsidR="00A44634" w:rsidRPr="0016673A">
        <w:rPr>
          <w:lang w:val="cs-CZ"/>
        </w:rPr>
        <w:t xml:space="preserve"> </w:t>
      </w:r>
    </w:p>
    <w:p w:rsidR="00A44634" w:rsidRPr="0016673A" w:rsidRDefault="0016673A" w:rsidP="009A1310">
      <w:pPr>
        <w:pStyle w:val="Nadpis3"/>
      </w:pPr>
      <w:r w:rsidRPr="0016673A">
        <w:t>Cíle koncernu pro rok</w:t>
      </w:r>
      <w:r w:rsidR="00A44634" w:rsidRPr="0016673A">
        <w:t xml:space="preserve"> 2019</w:t>
      </w:r>
    </w:p>
    <w:p w:rsidR="00A44634" w:rsidRPr="0016673A" w:rsidRDefault="00DC55DD" w:rsidP="004B5DBB">
      <w:pPr>
        <w:spacing w:after="240"/>
        <w:ind w:right="-2"/>
        <w:rPr>
          <w:lang w:val="cs-CZ"/>
        </w:rPr>
      </w:pPr>
      <w:r>
        <w:rPr>
          <w:lang w:val="cs-CZ"/>
        </w:rPr>
        <w:t>CEO</w:t>
      </w:r>
      <w:r w:rsidR="0016673A" w:rsidRPr="0016673A">
        <w:rPr>
          <w:lang w:val="cs-CZ"/>
        </w:rPr>
        <w:t xml:space="preserve"> společnosti</w:t>
      </w:r>
      <w:r w:rsidR="003C27FE" w:rsidRPr="0016673A">
        <w:rPr>
          <w:lang w:val="cs-CZ"/>
        </w:rPr>
        <w:t xml:space="preserve"> Claus Bolza-Schünemann: </w:t>
      </w:r>
      <w:r w:rsidR="00A44634" w:rsidRPr="0016673A">
        <w:rPr>
          <w:lang w:val="cs-CZ"/>
        </w:rPr>
        <w:t>„</w:t>
      </w:r>
      <w:r w:rsidR="0016673A" w:rsidRPr="0016673A">
        <w:rPr>
          <w:lang w:val="cs-CZ"/>
        </w:rPr>
        <w:t>Díky vysokému stavu zakázek ve výši</w:t>
      </w:r>
      <w:r w:rsidR="003C27FE" w:rsidRPr="0016673A">
        <w:rPr>
          <w:lang w:val="cs-CZ"/>
        </w:rPr>
        <w:t xml:space="preserve"> 678,2 </w:t>
      </w:r>
      <w:r w:rsidR="0016673A" w:rsidRPr="0016673A">
        <w:rPr>
          <w:lang w:val="cs-CZ"/>
        </w:rPr>
        <w:t>mil</w:t>
      </w:r>
      <w:r w:rsidR="003C27FE" w:rsidRPr="0016673A">
        <w:rPr>
          <w:lang w:val="cs-CZ"/>
        </w:rPr>
        <w:t xml:space="preserve">. € </w:t>
      </w:r>
      <w:r w:rsidR="0016673A" w:rsidRPr="0016673A">
        <w:rPr>
          <w:lang w:val="cs-CZ"/>
        </w:rPr>
        <w:t>k</w:t>
      </w:r>
      <w:r w:rsidR="003C27FE" w:rsidRPr="0016673A">
        <w:rPr>
          <w:lang w:val="cs-CZ"/>
        </w:rPr>
        <w:t xml:space="preserve"> 30. </w:t>
      </w:r>
      <w:r w:rsidR="0016673A" w:rsidRPr="0016673A">
        <w:rPr>
          <w:lang w:val="cs-CZ"/>
        </w:rPr>
        <w:t>červnu</w:t>
      </w:r>
      <w:r w:rsidR="003C27FE" w:rsidRPr="0016673A">
        <w:rPr>
          <w:lang w:val="cs-CZ"/>
        </w:rPr>
        <w:t xml:space="preserve"> 2019 </w:t>
      </w:r>
      <w:r w:rsidR="0016673A" w:rsidRPr="0016673A">
        <w:rPr>
          <w:lang w:val="cs-CZ"/>
        </w:rPr>
        <w:t>máme optimistický výhled do druhé poloviny roku</w:t>
      </w:r>
      <w:r w:rsidR="003C27FE" w:rsidRPr="0016673A">
        <w:rPr>
          <w:lang w:val="cs-CZ"/>
        </w:rPr>
        <w:t xml:space="preserve"> 2019. </w:t>
      </w:r>
      <w:r w:rsidR="0016673A" w:rsidRPr="0016673A">
        <w:rPr>
          <w:lang w:val="cs-CZ"/>
        </w:rPr>
        <w:t>Na základě situace zakázek s vysokým využitím kapacity a dalšího pokroku v našich koncernových projektech na zvýšení výnosů jsme přesvědčeni, že u plánovaných zakázek v tis</w:t>
      </w:r>
      <w:r w:rsidR="00257647">
        <w:rPr>
          <w:lang w:val="cs-CZ"/>
        </w:rPr>
        <w:t>k</w:t>
      </w:r>
      <w:r w:rsidR="0016673A" w:rsidRPr="0016673A">
        <w:rPr>
          <w:lang w:val="cs-CZ"/>
        </w:rPr>
        <w:t xml:space="preserve">u cenných </w:t>
      </w:r>
      <w:r w:rsidR="00257647" w:rsidRPr="0016673A">
        <w:rPr>
          <w:lang w:val="cs-CZ"/>
        </w:rPr>
        <w:t>papírů</w:t>
      </w:r>
      <w:r w:rsidR="0016673A" w:rsidRPr="0016673A">
        <w:rPr>
          <w:lang w:val="cs-CZ"/>
        </w:rPr>
        <w:t xml:space="preserve"> a s očekávanými zakázkami na </w:t>
      </w:r>
      <w:r w:rsidR="0016673A" w:rsidRPr="0016673A">
        <w:rPr>
          <w:lang w:val="cs-CZ"/>
        </w:rPr>
        <w:lastRenderedPageBreak/>
        <w:t>potisk plechu v roce 2019 dosáhnem</w:t>
      </w:r>
      <w:r w:rsidR="00257647">
        <w:rPr>
          <w:lang w:val="cs-CZ"/>
        </w:rPr>
        <w:t>e organického nárůstu obratu ko</w:t>
      </w:r>
      <w:r w:rsidR="00257647" w:rsidRPr="0016673A">
        <w:rPr>
          <w:lang w:val="cs-CZ"/>
        </w:rPr>
        <w:t>lem</w:t>
      </w:r>
      <w:r w:rsidR="0016673A" w:rsidRPr="0016673A">
        <w:rPr>
          <w:lang w:val="cs-CZ"/>
        </w:rPr>
        <w:t xml:space="preserve"> </w:t>
      </w:r>
      <w:r w:rsidR="003C27FE" w:rsidRPr="0016673A">
        <w:rPr>
          <w:color w:val="000000"/>
          <w:lang w:val="cs-CZ"/>
        </w:rPr>
        <w:t xml:space="preserve">4 % </w:t>
      </w:r>
      <w:r w:rsidR="0016673A" w:rsidRPr="0016673A">
        <w:rPr>
          <w:color w:val="000000"/>
          <w:lang w:val="cs-CZ"/>
        </w:rPr>
        <w:t xml:space="preserve">a marže provozního zisku </w:t>
      </w:r>
      <w:r w:rsidR="00130939">
        <w:rPr>
          <w:color w:val="000000"/>
          <w:lang w:val="cs-CZ"/>
        </w:rPr>
        <w:t>přibližně</w:t>
      </w:r>
      <w:r w:rsidR="003C27FE" w:rsidRPr="0016673A">
        <w:rPr>
          <w:lang w:val="cs-CZ"/>
        </w:rPr>
        <w:t xml:space="preserve"> 6 %</w:t>
      </w:r>
      <w:r w:rsidR="003C27FE" w:rsidRPr="0016673A">
        <w:rPr>
          <w:color w:val="000000"/>
          <w:lang w:val="cs-CZ"/>
        </w:rPr>
        <w:t xml:space="preserve">. </w:t>
      </w:r>
      <w:r w:rsidR="0016673A" w:rsidRPr="0016673A">
        <w:rPr>
          <w:color w:val="000000"/>
          <w:lang w:val="cs-CZ"/>
        </w:rPr>
        <w:t xml:space="preserve">Zatížení marže vyplývající z růstové ofenzivy </w:t>
      </w:r>
      <w:r w:rsidR="003C27FE" w:rsidRPr="0016673A">
        <w:rPr>
          <w:lang w:val="cs-CZ"/>
        </w:rPr>
        <w:t xml:space="preserve">2023 </w:t>
      </w:r>
      <w:r w:rsidR="0016673A" w:rsidRPr="0016673A">
        <w:rPr>
          <w:lang w:val="cs-CZ"/>
        </w:rPr>
        <w:t>je již v</w:t>
      </w:r>
      <w:r w:rsidR="00257647">
        <w:rPr>
          <w:lang w:val="cs-CZ"/>
        </w:rPr>
        <w:t> </w:t>
      </w:r>
      <w:r w:rsidR="0016673A" w:rsidRPr="0016673A">
        <w:rPr>
          <w:lang w:val="cs-CZ"/>
        </w:rPr>
        <w:t>naš</w:t>
      </w:r>
      <w:r w:rsidR="00257647">
        <w:rPr>
          <w:lang w:val="cs-CZ"/>
        </w:rPr>
        <w:t>ich cílech</w:t>
      </w:r>
      <w:r w:rsidR="0016673A" w:rsidRPr="0016673A">
        <w:rPr>
          <w:lang w:val="cs-CZ"/>
        </w:rPr>
        <w:t xml:space="preserve"> pro </w:t>
      </w:r>
      <w:r w:rsidR="00754EDF">
        <w:rPr>
          <w:lang w:val="cs-CZ"/>
        </w:rPr>
        <w:t>zisk</w:t>
      </w:r>
      <w:r w:rsidR="0016673A" w:rsidRPr="0016673A">
        <w:rPr>
          <w:lang w:val="cs-CZ"/>
        </w:rPr>
        <w:t xml:space="preserve"> 2019 z</w:t>
      </w:r>
      <w:r w:rsidR="00130939">
        <w:rPr>
          <w:lang w:val="cs-CZ"/>
        </w:rPr>
        <w:t>ohledněno</w:t>
      </w:r>
      <w:r w:rsidR="00CE56BD" w:rsidRPr="0016673A">
        <w:rPr>
          <w:lang w:val="cs-CZ"/>
        </w:rPr>
        <w:t>.</w:t>
      </w:r>
      <w:r w:rsidR="00A44634" w:rsidRPr="0016673A">
        <w:rPr>
          <w:lang w:val="cs-CZ"/>
        </w:rPr>
        <w:t>“</w:t>
      </w:r>
    </w:p>
    <w:p w:rsidR="00A44634" w:rsidRPr="004D1BB9" w:rsidRDefault="00257647" w:rsidP="009A1310">
      <w:pPr>
        <w:pStyle w:val="Nadpis3"/>
      </w:pPr>
      <w:r w:rsidRPr="004D1BB9">
        <w:t>Střednědobé cíle do roku</w:t>
      </w:r>
      <w:r w:rsidR="00A44634" w:rsidRPr="004D1BB9">
        <w:t xml:space="preserve"> 2023</w:t>
      </w:r>
    </w:p>
    <w:p w:rsidR="00584EAD" w:rsidRPr="004D1BB9" w:rsidRDefault="00257647" w:rsidP="003C27FE">
      <w:pPr>
        <w:spacing w:after="240"/>
        <w:ind w:right="139"/>
        <w:rPr>
          <w:lang w:val="cs-CZ"/>
        </w:rPr>
      </w:pPr>
      <w:r w:rsidRPr="004D1BB9">
        <w:rPr>
          <w:lang w:val="cs-CZ"/>
        </w:rPr>
        <w:t>Finanční ředitel společnosti</w:t>
      </w:r>
      <w:r w:rsidR="003C27FE" w:rsidRPr="004D1BB9">
        <w:rPr>
          <w:lang w:val="cs-CZ"/>
        </w:rPr>
        <w:t xml:space="preserve"> Mathias Dähn: </w:t>
      </w:r>
      <w:r w:rsidR="00A44634" w:rsidRPr="004D1BB9">
        <w:rPr>
          <w:lang w:val="cs-CZ"/>
        </w:rPr>
        <w:t>„</w:t>
      </w:r>
      <w:r w:rsidRPr="004D1BB9">
        <w:rPr>
          <w:lang w:val="cs-CZ"/>
        </w:rPr>
        <w:t xml:space="preserve">Naší růstovou ofenzívou 2023 chceme pro trvale udržitelný profitabilní růst </w:t>
      </w:r>
      <w:r w:rsidR="00754EDF" w:rsidRPr="004D1BB9">
        <w:rPr>
          <w:lang w:val="cs-CZ"/>
        </w:rPr>
        <w:t xml:space="preserve">ofenzivně využít </w:t>
      </w:r>
      <w:r w:rsidRPr="004D1BB9">
        <w:rPr>
          <w:lang w:val="cs-CZ"/>
        </w:rPr>
        <w:t>aktuálně se nabízející tržní šan</w:t>
      </w:r>
      <w:r w:rsidR="004D1BB9">
        <w:rPr>
          <w:lang w:val="cs-CZ"/>
        </w:rPr>
        <w:t>ce v oblasti potisku vlnité lepenky, k</w:t>
      </w:r>
      <w:r w:rsidRPr="004D1BB9">
        <w:rPr>
          <w:lang w:val="cs-CZ"/>
        </w:rPr>
        <w:t>artonů, dvoudílných plechovek, flexibilního potisku obalů</w:t>
      </w:r>
      <w:r w:rsidR="003C27FE" w:rsidRPr="004D1BB9">
        <w:rPr>
          <w:lang w:val="cs-CZ"/>
        </w:rPr>
        <w:t xml:space="preserve">, </w:t>
      </w:r>
      <w:r w:rsidRPr="004D1BB9">
        <w:rPr>
          <w:lang w:val="cs-CZ"/>
        </w:rPr>
        <w:t xml:space="preserve">značení, přímého potisku skla, tisku dekorů a </w:t>
      </w:r>
      <w:r w:rsidR="006842F6" w:rsidRPr="004D1BB9">
        <w:rPr>
          <w:lang w:val="cs-CZ"/>
        </w:rPr>
        <w:t>v segmentu</w:t>
      </w:r>
      <w:r w:rsidR="003C27FE" w:rsidRPr="004D1BB9">
        <w:rPr>
          <w:lang w:val="cs-CZ"/>
        </w:rPr>
        <w:t xml:space="preserve"> Postpress. </w:t>
      </w:r>
      <w:r w:rsidR="006842F6" w:rsidRPr="004D1BB9">
        <w:rPr>
          <w:lang w:val="cs-CZ"/>
        </w:rPr>
        <w:t xml:space="preserve">Vliv volatilních </w:t>
      </w:r>
      <w:r w:rsidR="007E7566" w:rsidRPr="004D1BB9">
        <w:rPr>
          <w:lang w:val="cs-CZ"/>
        </w:rPr>
        <w:t>obchodů s cen</w:t>
      </w:r>
      <w:r w:rsidR="00FC7ECA" w:rsidRPr="004D1BB9">
        <w:rPr>
          <w:lang w:val="cs-CZ"/>
        </w:rPr>
        <w:t>n</w:t>
      </w:r>
      <w:r w:rsidR="007E7566" w:rsidRPr="004D1BB9">
        <w:rPr>
          <w:lang w:val="cs-CZ"/>
        </w:rPr>
        <w:t>ými papíry</w:t>
      </w:r>
      <w:r w:rsidR="00217888" w:rsidRPr="004D1BB9">
        <w:rPr>
          <w:lang w:val="cs-CZ"/>
        </w:rPr>
        <w:t xml:space="preserve"> se bude snižovat díky vyššímu podílu obalů na obratu koncernu</w:t>
      </w:r>
      <w:r w:rsidR="003C27FE" w:rsidRPr="004D1BB9">
        <w:rPr>
          <w:lang w:val="cs-CZ"/>
        </w:rPr>
        <w:t xml:space="preserve">. </w:t>
      </w:r>
      <w:r w:rsidR="00FC7ECA" w:rsidRPr="004D1BB9">
        <w:rPr>
          <w:lang w:val="cs-CZ"/>
        </w:rPr>
        <w:t xml:space="preserve">U rotačních ofsetových strojů pro novinový a akcidenční tisk očekáváme z důvodu narůstajícího počtu </w:t>
      </w:r>
      <w:r w:rsidR="00130939">
        <w:rPr>
          <w:lang w:val="cs-CZ"/>
        </w:rPr>
        <w:t xml:space="preserve">odstavovaných </w:t>
      </w:r>
      <w:r w:rsidR="00FC7ECA" w:rsidRPr="004D1BB9">
        <w:rPr>
          <w:lang w:val="cs-CZ"/>
        </w:rPr>
        <w:t>strojů a uzavírání tiskáren dále klesající objem servisních služeb</w:t>
      </w:r>
      <w:r w:rsidR="003C27FE" w:rsidRPr="004D1BB9">
        <w:rPr>
          <w:lang w:val="cs-CZ"/>
        </w:rPr>
        <w:t xml:space="preserve">. </w:t>
      </w:r>
      <w:r w:rsidR="00FC7ECA" w:rsidRPr="004D1BB9">
        <w:rPr>
          <w:lang w:val="cs-CZ"/>
        </w:rPr>
        <w:t xml:space="preserve">Všemi našimi iniciativami a projekty se snažíme do roku </w:t>
      </w:r>
      <w:r w:rsidR="003C27FE" w:rsidRPr="004D1BB9">
        <w:rPr>
          <w:lang w:val="cs-CZ"/>
        </w:rPr>
        <w:t>2023</w:t>
      </w:r>
      <w:r w:rsidR="00FC7ECA" w:rsidRPr="004D1BB9">
        <w:rPr>
          <w:lang w:val="cs-CZ"/>
        </w:rPr>
        <w:t xml:space="preserve"> o nárůst obratu koncernu na cca</w:t>
      </w:r>
      <w:r w:rsidR="003C27FE" w:rsidRPr="004D1BB9">
        <w:rPr>
          <w:lang w:val="cs-CZ"/>
        </w:rPr>
        <w:t xml:space="preserve"> 1,5 </w:t>
      </w:r>
      <w:r w:rsidR="00FC7ECA" w:rsidRPr="004D1BB9">
        <w:rPr>
          <w:lang w:val="cs-CZ"/>
        </w:rPr>
        <w:t>miliardy</w:t>
      </w:r>
      <w:r w:rsidR="003C27FE" w:rsidRPr="004D1BB9">
        <w:rPr>
          <w:lang w:val="cs-CZ"/>
        </w:rPr>
        <w:t xml:space="preserve"> € </w:t>
      </w:r>
      <w:r w:rsidR="00FC7ECA" w:rsidRPr="004D1BB9">
        <w:rPr>
          <w:lang w:val="cs-CZ"/>
        </w:rPr>
        <w:t>s</w:t>
      </w:r>
      <w:r w:rsidR="003C27FE" w:rsidRPr="004D1BB9">
        <w:rPr>
          <w:lang w:val="cs-CZ"/>
        </w:rPr>
        <w:t xml:space="preserve"> </w:t>
      </w:r>
      <w:r w:rsidR="00FC7ECA" w:rsidRPr="004D1BB9">
        <w:rPr>
          <w:lang w:val="cs-CZ"/>
        </w:rPr>
        <w:t>marží provozního zisku mezi</w:t>
      </w:r>
      <w:r w:rsidR="003C27FE" w:rsidRPr="004D1BB9">
        <w:rPr>
          <w:lang w:val="cs-CZ"/>
        </w:rPr>
        <w:t xml:space="preserve"> 7 % </w:t>
      </w:r>
      <w:r w:rsidR="00FC7ECA" w:rsidRPr="004D1BB9">
        <w:rPr>
          <w:lang w:val="cs-CZ"/>
        </w:rPr>
        <w:t>a</w:t>
      </w:r>
      <w:r w:rsidR="003C27FE" w:rsidRPr="004D1BB9">
        <w:rPr>
          <w:lang w:val="cs-CZ"/>
        </w:rPr>
        <w:t xml:space="preserve"> 10 %. </w:t>
      </w:r>
      <w:r w:rsidR="00FC7ECA" w:rsidRPr="004D1BB9">
        <w:rPr>
          <w:lang w:val="cs-CZ"/>
        </w:rPr>
        <w:t>K nárůstu obratu a výnosů by měly přispět všechny tři segmenty</w:t>
      </w:r>
      <w:r w:rsidR="003C27FE" w:rsidRPr="004D1BB9">
        <w:rPr>
          <w:color w:val="000000"/>
          <w:lang w:val="cs-CZ"/>
        </w:rPr>
        <w:t xml:space="preserve">. </w:t>
      </w:r>
      <w:r w:rsidR="00FC7ECA" w:rsidRPr="004D1BB9">
        <w:rPr>
          <w:color w:val="000000"/>
          <w:lang w:val="cs-CZ"/>
        </w:rPr>
        <w:t>Vedle podílu dividend od</w:t>
      </w:r>
      <w:r w:rsidR="003C27FE" w:rsidRPr="004D1BB9">
        <w:rPr>
          <w:color w:val="000000"/>
          <w:lang w:val="cs-CZ"/>
        </w:rPr>
        <w:t xml:space="preserve"> 15 % </w:t>
      </w:r>
      <w:r w:rsidR="00FC7ECA" w:rsidRPr="004D1BB9">
        <w:rPr>
          <w:color w:val="000000"/>
          <w:lang w:val="cs-CZ"/>
        </w:rPr>
        <w:t>do</w:t>
      </w:r>
      <w:r w:rsidR="003C27FE" w:rsidRPr="004D1BB9">
        <w:rPr>
          <w:color w:val="000000"/>
          <w:lang w:val="cs-CZ"/>
        </w:rPr>
        <w:t xml:space="preserve"> 35 % </w:t>
      </w:r>
      <w:r w:rsidR="00FC7ECA" w:rsidRPr="004D1BB9">
        <w:rPr>
          <w:color w:val="000000"/>
          <w:lang w:val="cs-CZ"/>
        </w:rPr>
        <w:t xml:space="preserve">výsledku koncernu </w:t>
      </w:r>
      <w:r w:rsidR="004D1BB9" w:rsidRPr="004D1BB9">
        <w:rPr>
          <w:color w:val="000000"/>
          <w:lang w:val="cs-CZ"/>
        </w:rPr>
        <w:t>je dalším cílem podíl vlastního kapitálu přes</w:t>
      </w:r>
      <w:r w:rsidR="003C27FE" w:rsidRPr="004D1BB9">
        <w:rPr>
          <w:color w:val="000000"/>
          <w:lang w:val="cs-CZ"/>
        </w:rPr>
        <w:t xml:space="preserve"> 45 %, </w:t>
      </w:r>
      <w:r w:rsidR="004D1BB9" w:rsidRPr="004D1BB9">
        <w:rPr>
          <w:color w:val="000000"/>
          <w:lang w:val="cs-CZ"/>
        </w:rPr>
        <w:t>cílový koridor</w:t>
      </w:r>
      <w:r w:rsidR="003C27FE" w:rsidRPr="004D1BB9">
        <w:rPr>
          <w:color w:val="000000"/>
          <w:lang w:val="cs-CZ"/>
        </w:rPr>
        <w:t xml:space="preserve"> </w:t>
      </w:r>
      <w:r w:rsidR="004D1BB9" w:rsidRPr="004D1BB9">
        <w:rPr>
          <w:color w:val="000000"/>
          <w:lang w:val="cs-CZ"/>
        </w:rPr>
        <w:t xml:space="preserve">čistého pracovního kapitálu mezi </w:t>
      </w:r>
      <w:r w:rsidR="003C27FE" w:rsidRPr="004D1BB9">
        <w:rPr>
          <w:color w:val="000000"/>
          <w:lang w:val="cs-CZ"/>
        </w:rPr>
        <w:t xml:space="preserve">20 % </w:t>
      </w:r>
      <w:r w:rsidR="004D1BB9" w:rsidRPr="004D1BB9">
        <w:rPr>
          <w:color w:val="000000"/>
          <w:lang w:val="cs-CZ"/>
        </w:rPr>
        <w:t>a</w:t>
      </w:r>
      <w:r w:rsidR="003C27FE" w:rsidRPr="004D1BB9">
        <w:rPr>
          <w:color w:val="000000"/>
          <w:lang w:val="cs-CZ"/>
        </w:rPr>
        <w:t xml:space="preserve"> 25 % </w:t>
      </w:r>
      <w:r w:rsidR="004D1BB9" w:rsidRPr="004D1BB9">
        <w:rPr>
          <w:color w:val="000000"/>
          <w:lang w:val="cs-CZ"/>
        </w:rPr>
        <w:t xml:space="preserve">obratu a podíl servisních služeb na obratu </w:t>
      </w:r>
      <w:r w:rsidR="003C27FE" w:rsidRPr="004D1BB9">
        <w:rPr>
          <w:color w:val="000000"/>
          <w:lang w:val="cs-CZ"/>
        </w:rPr>
        <w:t>30 %.</w:t>
      </w:r>
      <w:r w:rsidR="00A44634" w:rsidRPr="004D1BB9">
        <w:rPr>
          <w:lang w:val="cs-CZ"/>
        </w:rPr>
        <w:t>“</w:t>
      </w:r>
    </w:p>
    <w:p w:rsidR="00C1069D" w:rsidRPr="00885B9B" w:rsidRDefault="00C1069D" w:rsidP="00A44634">
      <w:pPr>
        <w:spacing w:after="240"/>
        <w:rPr>
          <w:lang w:val="cs-CZ"/>
        </w:rPr>
      </w:pPr>
    </w:p>
    <w:p w:rsidR="00BC4F56" w:rsidRPr="00885B9B" w:rsidRDefault="00A44634" w:rsidP="00780DE4">
      <w:pPr>
        <w:pStyle w:val="Nadpis4"/>
        <w:spacing w:after="0"/>
        <w:rPr>
          <w:lang w:val="cs-CZ"/>
        </w:rPr>
      </w:pPr>
      <w:r w:rsidRPr="00885B9B">
        <w:rPr>
          <w:lang w:val="cs-CZ"/>
        </w:rPr>
        <w:t>Foto 1:</w:t>
      </w:r>
    </w:p>
    <w:p w:rsidR="006B2D44" w:rsidRPr="00885B9B" w:rsidRDefault="004D1BB9" w:rsidP="00BC4F56">
      <w:pPr>
        <w:spacing w:after="240"/>
        <w:rPr>
          <w:lang w:val="cs-CZ"/>
        </w:rPr>
      </w:pPr>
      <w:r w:rsidRPr="00914591">
        <w:rPr>
          <w:rStyle w:val="tlid-translation"/>
          <w:lang w:val="cs-CZ"/>
        </w:rPr>
        <w:t>Po zkušební fázi prototypu v</w:t>
      </w:r>
      <w:r>
        <w:rPr>
          <w:rStyle w:val="tlid-translation"/>
          <w:lang w:val="cs-CZ"/>
        </w:rPr>
        <w:t> závodě</w:t>
      </w:r>
      <w:r w:rsidRPr="00914591">
        <w:rPr>
          <w:rStyle w:val="tlid-translation"/>
          <w:lang w:val="cs-CZ"/>
        </w:rPr>
        <w:t xml:space="preserve"> </w:t>
      </w:r>
      <w:r w:rsidR="00386CEE" w:rsidRPr="00885B9B">
        <w:rPr>
          <w:lang w:val="cs-CZ"/>
        </w:rPr>
        <w:t>Koenig &amp; Bauer</w:t>
      </w:r>
      <w:r w:rsidRPr="004D1BB9">
        <w:rPr>
          <w:rStyle w:val="tlid-translation"/>
          <w:lang w:val="cs-CZ"/>
        </w:rPr>
        <w:t xml:space="preserve"> </w:t>
      </w:r>
      <w:r w:rsidRPr="00914591">
        <w:rPr>
          <w:rStyle w:val="tlid-translation"/>
          <w:lang w:val="cs-CZ"/>
        </w:rPr>
        <w:t xml:space="preserve">renomovaný pilotní zákazník a vývojový partner </w:t>
      </w:r>
      <w:r>
        <w:rPr>
          <w:rStyle w:val="tlid-translation"/>
          <w:lang w:val="cs-CZ"/>
        </w:rPr>
        <w:t xml:space="preserve">společnost </w:t>
      </w:r>
      <w:r w:rsidRPr="00914591">
        <w:rPr>
          <w:rStyle w:val="tlid-translation"/>
          <w:lang w:val="cs-CZ"/>
        </w:rPr>
        <w:t xml:space="preserve">Klingele </w:t>
      </w:r>
      <w:r>
        <w:rPr>
          <w:rStyle w:val="tlid-translation"/>
          <w:lang w:val="cs-CZ"/>
        </w:rPr>
        <w:t xml:space="preserve">odebral </w:t>
      </w:r>
      <w:r w:rsidRPr="00914591">
        <w:rPr>
          <w:rStyle w:val="tlid-translation"/>
          <w:lang w:val="cs-CZ"/>
        </w:rPr>
        <w:t>objednaný</w:t>
      </w:r>
      <w:r>
        <w:rPr>
          <w:rStyle w:val="tlid-translation"/>
          <w:lang w:val="cs-CZ"/>
        </w:rPr>
        <w:t xml:space="preserve"> stroj</w:t>
      </w:r>
      <w:r w:rsidRPr="00914591">
        <w:rPr>
          <w:rStyle w:val="tlid-translation"/>
          <w:lang w:val="cs-CZ"/>
        </w:rPr>
        <w:t xml:space="preserve"> CorruCUT</w:t>
      </w:r>
      <w:r w:rsidR="00C55710">
        <w:rPr>
          <w:lang w:val="cs-CZ"/>
        </w:rPr>
        <w:t>.</w:t>
      </w:r>
    </w:p>
    <w:p w:rsidR="00A44634" w:rsidRPr="00130939" w:rsidRDefault="00A44634" w:rsidP="00780DE4">
      <w:pPr>
        <w:pStyle w:val="Nadpis4"/>
        <w:spacing w:after="0"/>
        <w:rPr>
          <w:lang w:val="cs-CZ"/>
        </w:rPr>
      </w:pPr>
      <w:r w:rsidRPr="00130939">
        <w:rPr>
          <w:lang w:val="cs-CZ"/>
        </w:rPr>
        <w:t>Foto 2:</w:t>
      </w:r>
    </w:p>
    <w:p w:rsidR="00A44634" w:rsidRPr="004D1BB9" w:rsidRDefault="004D1BB9" w:rsidP="00A44634">
      <w:pPr>
        <w:spacing w:after="240"/>
        <w:rPr>
          <w:lang w:val="cs-CZ"/>
        </w:rPr>
      </w:pPr>
      <w:r w:rsidRPr="004D1BB9">
        <w:rPr>
          <w:lang w:val="cs-CZ"/>
        </w:rPr>
        <w:t xml:space="preserve">Díky službám založeným na datech a dalším inovacím se společnost </w:t>
      </w:r>
      <w:r w:rsidR="0012268F" w:rsidRPr="004D1BB9">
        <w:rPr>
          <w:lang w:val="cs-CZ"/>
        </w:rPr>
        <w:t>Koenig &amp; Bauer</w:t>
      </w:r>
      <w:r w:rsidRPr="004D1BB9">
        <w:rPr>
          <w:lang w:val="cs-CZ"/>
        </w:rPr>
        <w:t xml:space="preserve"> stala iniciátorem digitalizace obchodních procesů napříč odvětvími</w:t>
      </w:r>
      <w:r w:rsidR="00C55710">
        <w:rPr>
          <w:lang w:val="cs-CZ"/>
        </w:rPr>
        <w:t>.</w:t>
      </w:r>
    </w:p>
    <w:p w:rsidR="008C6097" w:rsidRPr="00130939" w:rsidRDefault="008C6097" w:rsidP="00A44634">
      <w:pPr>
        <w:spacing w:after="240"/>
        <w:rPr>
          <w:lang w:val="cs-CZ"/>
        </w:rPr>
      </w:pPr>
    </w:p>
    <w:p w:rsidR="00584EAD" w:rsidRDefault="004D1BB9" w:rsidP="00584EAD">
      <w:pPr>
        <w:spacing w:after="240"/>
      </w:pPr>
      <w:r w:rsidRPr="004D1BB9">
        <w:rPr>
          <w:b/>
          <w:lang w:val="cs-CZ"/>
        </w:rPr>
        <w:t xml:space="preserve">Kontaktní osoba pro </w:t>
      </w:r>
      <w:r w:rsidR="00C55710">
        <w:rPr>
          <w:b/>
          <w:lang w:val="cs-CZ"/>
        </w:rPr>
        <w:t>média</w:t>
      </w:r>
      <w:r>
        <w:t xml:space="preserve"> </w:t>
      </w:r>
      <w:r w:rsidR="00584EAD">
        <w:br/>
      </w:r>
      <w:r w:rsidR="00A44634">
        <w:t>Koenig &amp; Bauer AG</w:t>
      </w:r>
      <w:r w:rsidR="00584EAD">
        <w:br/>
      </w:r>
      <w:r w:rsidR="00A44634">
        <w:t>Dr. Bernd Heusinger</w:t>
      </w:r>
      <w:r w:rsidR="00A44634">
        <w:br/>
        <w:t>T +49 931 909-4835</w:t>
      </w:r>
      <w:r w:rsidR="00584EAD">
        <w:br/>
        <w:t xml:space="preserve">M </w:t>
      </w:r>
      <w:hyperlink r:id="rId8" w:history="1">
        <w:r w:rsidR="00A44634" w:rsidRPr="00C5391E">
          <w:rPr>
            <w:rStyle w:val="Hypertextovodkaz"/>
          </w:rPr>
          <w:t>bernd.heusinger@koenig-bauer.com</w:t>
        </w:r>
      </w:hyperlink>
    </w:p>
    <w:p w:rsidR="006B2D44" w:rsidRDefault="006B2D44" w:rsidP="00584EAD">
      <w:pPr>
        <w:spacing w:after="240"/>
      </w:pPr>
    </w:p>
    <w:p w:rsidR="00A44634" w:rsidRPr="00DB29D7" w:rsidRDefault="00DB29D7" w:rsidP="00780DE4">
      <w:pPr>
        <w:pStyle w:val="Nadpis4"/>
        <w:spacing w:after="0"/>
        <w:rPr>
          <w:lang w:val="cs-CZ"/>
        </w:rPr>
      </w:pPr>
      <w:r w:rsidRPr="00DB29D7">
        <w:rPr>
          <w:lang w:val="cs-CZ"/>
        </w:rPr>
        <w:t>O společnosti</w:t>
      </w:r>
      <w:r w:rsidR="00A44634" w:rsidRPr="00DB29D7">
        <w:rPr>
          <w:lang w:val="cs-CZ"/>
        </w:rPr>
        <w:t xml:space="preserve"> Koenig &amp; Bauer</w:t>
      </w:r>
    </w:p>
    <w:p w:rsidR="00A44634" w:rsidRPr="00DB29D7" w:rsidRDefault="00885B9B" w:rsidP="00D05BF0">
      <w:pPr>
        <w:spacing w:after="240"/>
        <w:ind w:right="139"/>
        <w:rPr>
          <w:lang w:val="cs-CZ"/>
        </w:rPr>
      </w:pPr>
      <w:r w:rsidRPr="00DB29D7">
        <w:rPr>
          <w:lang w:val="cs-CZ"/>
        </w:rPr>
        <w:t>Skupina Koenig &amp; Bauer je s více než 1,2 miliardy EUR ročního obratu a 5 700 zaměstnanci partnerem orientovaným na zákazníka v mezinárodním tiskařském průmyslu. V tisku bankovek a na rostoucích trzích potisku obalů je poskytovatelem řešení a celosvětovým tržním a technologickým lídrem. Historický vývoj firmy je již od počátku po dobu 200 let formován inovacemi a technickým pokrokem. Špičkově technicky navržené stroje a zařízení, důsledně a na míru přizpůsobené potřebám zákazníka, umožňují vysoce efektivní procesy tisku, zušlechťování a dalšího zpracování. Servisní služby zahrnují širokou škálu nabídek orientovaných na zákazníka, a to až po síťově propojenou tiskárnu. Se solidní bilancí a vysokou finanční silou je společnost Koenig &amp; Bauer na dobré cestě trvale udržitelného a ziskového růstu</w:t>
      </w:r>
      <w:r w:rsidR="00A44634" w:rsidRPr="00DB29D7">
        <w:rPr>
          <w:lang w:val="cs-CZ"/>
        </w:rPr>
        <w:t>.</w:t>
      </w:r>
    </w:p>
    <w:p w:rsidR="00A44634" w:rsidRPr="00130939" w:rsidRDefault="00DB29D7" w:rsidP="00A44634">
      <w:pPr>
        <w:spacing w:after="240"/>
        <w:rPr>
          <w:lang w:val="cs-CZ"/>
        </w:rPr>
      </w:pPr>
      <w:r w:rsidRPr="00DB29D7">
        <w:rPr>
          <w:rStyle w:val="Zdraznnjemn"/>
          <w:lang w:val="cs-CZ"/>
        </w:rPr>
        <w:t xml:space="preserve">Další informace najdete </w:t>
      </w:r>
      <w:r w:rsidRPr="00130939">
        <w:rPr>
          <w:rStyle w:val="Zdraznnjemn"/>
          <w:lang w:val="cs-CZ"/>
        </w:rPr>
        <w:t xml:space="preserve">na </w:t>
      </w:r>
      <w:r w:rsidR="00A44634" w:rsidRPr="00130939">
        <w:rPr>
          <w:lang w:val="cs-CZ"/>
        </w:rPr>
        <w:t>www.koenig-bauer.com</w:t>
      </w:r>
    </w:p>
    <w:p w:rsidR="00A44634" w:rsidRPr="00130939" w:rsidRDefault="00A44634" w:rsidP="00A44634">
      <w:pPr>
        <w:spacing w:after="240"/>
        <w:rPr>
          <w:lang w:val="cs-CZ"/>
        </w:rPr>
      </w:pPr>
    </w:p>
    <w:p w:rsidR="00A44634" w:rsidRPr="00DB29D7" w:rsidRDefault="00DB29D7" w:rsidP="00780DE4">
      <w:pPr>
        <w:pStyle w:val="Nadpis4"/>
        <w:spacing w:after="0"/>
        <w:rPr>
          <w:lang w:val="cs-CZ"/>
        </w:rPr>
      </w:pPr>
      <w:r w:rsidRPr="00DB29D7">
        <w:rPr>
          <w:lang w:val="cs-CZ"/>
        </w:rPr>
        <w:t>Důležité upozornění</w:t>
      </w:r>
      <w:r w:rsidR="00A44634" w:rsidRPr="00DB29D7">
        <w:rPr>
          <w:lang w:val="cs-CZ"/>
        </w:rPr>
        <w:t>:</w:t>
      </w:r>
    </w:p>
    <w:p w:rsidR="00DB29D7" w:rsidRPr="00DB29D7" w:rsidRDefault="00DB29D7" w:rsidP="00DB29D7">
      <w:pPr>
        <w:pStyle w:val="FlietextStandard"/>
        <w:rPr>
          <w:lang w:val="cs-CZ"/>
        </w:rPr>
      </w:pPr>
      <w:r w:rsidRPr="00DB29D7">
        <w:rPr>
          <w:lang w:val="cs-CZ"/>
        </w:rPr>
        <w:t>Tato tisková zpráva obsahuje výpovědi zaměřené na budoucnost, které jsou založeny na fundovaných předpokladech a odhadech vedení koncernu Koenig &amp; Bauer AG. Přestože je vedení koncernu toho názoru, že jsou tyto předpoklady a odhady správné, mohou se skutečné budoucí výsledky a vývoj lišit na základě různých faktorů, které firma nemůže ovlivnit. K těmto faktorům mohou patřit například změna hospodářské situace nebo směnných kurzů či změny v rámci polygrafického odvětví. Výhled neobsahuje žádné významné efekty a vlivy na portfolio vztahující se k právním a úředním záležitostem. Kromě toho je závislý na průběžném růstu výnosu a nezohledňuje rušivé, krátkodobé změny na trhu. Společnost Koenig &amp; Bauer AG nepřebírá záruku za to, že budoucí vývoj a skutečně dosažené výsledky budou identické s čísly a výpověďmi obsaženými v této tiskové zprávě.</w:t>
      </w:r>
    </w:p>
    <w:p w:rsidR="00A44634" w:rsidRPr="00130939" w:rsidRDefault="00A44634" w:rsidP="008B6066">
      <w:pPr>
        <w:spacing w:after="240"/>
        <w:ind w:right="139"/>
        <w:rPr>
          <w:lang w:val="cs-CZ"/>
        </w:rPr>
      </w:pPr>
      <w:r w:rsidRPr="00130939">
        <w:rPr>
          <w:lang w:val="cs-CZ"/>
        </w:rPr>
        <w:br/>
      </w:r>
      <w:r w:rsidRPr="00130939">
        <w:rPr>
          <w:lang w:val="cs-CZ"/>
        </w:rPr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DB29D7" w:rsidP="00DB29D7">
            <w:pPr>
              <w:spacing w:after="240"/>
            </w:pPr>
            <w:r w:rsidRPr="00DB29D7">
              <w:rPr>
                <w:lang w:val="cs-CZ"/>
              </w:rPr>
              <w:t>Skupina</w:t>
            </w:r>
            <w:r w:rsidR="00A44634">
              <w:t xml:space="preserve"> &amp; Bauer</w:t>
            </w:r>
            <w:r w:rsidR="00D05BF0">
              <w:t>-</w:t>
            </w:r>
            <w:r w:rsidR="00A44634">
              <w:t>Gruppe</w:t>
            </w:r>
          </w:p>
        </w:tc>
        <w:tc>
          <w:tcPr>
            <w:tcW w:w="1871" w:type="dxa"/>
          </w:tcPr>
          <w:p w:rsidR="00A44634" w:rsidRDefault="00A44634" w:rsidP="00DB29D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54517">
              <w:t>0</w:t>
            </w:r>
            <w:r>
              <w:t>.</w:t>
            </w:r>
            <w:r w:rsidR="00FB2412">
              <w:t>0</w:t>
            </w:r>
            <w:r w:rsidR="00054517">
              <w:t>6</w:t>
            </w:r>
            <w:r>
              <w:t>.201</w:t>
            </w:r>
            <w:r w:rsidR="00FB2412">
              <w:t>8</w:t>
            </w:r>
            <w:r>
              <w:br/>
            </w:r>
            <w:r w:rsidR="00DB29D7">
              <w:t>v mil</w:t>
            </w:r>
            <w:r>
              <w:t xml:space="preserve">. </w:t>
            </w:r>
            <w:r w:rsidR="003603A1">
              <w:t>€</w:t>
            </w:r>
          </w:p>
        </w:tc>
        <w:tc>
          <w:tcPr>
            <w:tcW w:w="1871" w:type="dxa"/>
          </w:tcPr>
          <w:p w:rsidR="00A44634" w:rsidRPr="00DB29D7" w:rsidRDefault="00A44634" w:rsidP="00DB29D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DB29D7">
              <w:rPr>
                <w:lang w:val="cs-CZ"/>
              </w:rPr>
              <w:t>3</w:t>
            </w:r>
            <w:r w:rsidR="00054517" w:rsidRPr="00DB29D7">
              <w:rPr>
                <w:lang w:val="cs-CZ"/>
              </w:rPr>
              <w:t>0</w:t>
            </w:r>
            <w:r w:rsidRPr="00DB29D7">
              <w:rPr>
                <w:lang w:val="cs-CZ"/>
              </w:rPr>
              <w:t>.</w:t>
            </w:r>
            <w:r w:rsidR="00FB2412" w:rsidRPr="00DB29D7">
              <w:rPr>
                <w:lang w:val="cs-CZ"/>
              </w:rPr>
              <w:t>0</w:t>
            </w:r>
            <w:r w:rsidR="00054517" w:rsidRPr="00DB29D7">
              <w:rPr>
                <w:lang w:val="cs-CZ"/>
              </w:rPr>
              <w:t>6</w:t>
            </w:r>
            <w:r w:rsidRPr="00DB29D7">
              <w:rPr>
                <w:lang w:val="cs-CZ"/>
              </w:rPr>
              <w:t>.201</w:t>
            </w:r>
            <w:r w:rsidR="00FB2412" w:rsidRPr="00DB29D7">
              <w:rPr>
                <w:lang w:val="cs-CZ"/>
              </w:rPr>
              <w:t>9</w:t>
            </w:r>
            <w:r w:rsidRPr="00DB29D7">
              <w:rPr>
                <w:lang w:val="cs-CZ"/>
              </w:rPr>
              <w:br/>
            </w:r>
            <w:r w:rsidR="00DB29D7">
              <w:rPr>
                <w:lang w:val="cs-CZ"/>
              </w:rPr>
              <w:t>v mil</w:t>
            </w:r>
            <w:r w:rsidRPr="00DB29D7">
              <w:rPr>
                <w:lang w:val="cs-CZ"/>
              </w:rPr>
              <w:t xml:space="preserve">. </w:t>
            </w:r>
            <w:r w:rsidR="003603A1" w:rsidRPr="00DB29D7">
              <w:rPr>
                <w:lang w:val="cs-CZ"/>
              </w:rPr>
              <w:t>€</w:t>
            </w:r>
          </w:p>
        </w:tc>
        <w:tc>
          <w:tcPr>
            <w:tcW w:w="1871" w:type="dxa"/>
          </w:tcPr>
          <w:p w:rsidR="00A44634" w:rsidRPr="00DB29D7" w:rsidRDefault="00DB29D7" w:rsidP="00DB29D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DB29D7">
              <w:rPr>
                <w:lang w:val="cs-CZ"/>
              </w:rPr>
              <w:t>změna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130939" w:rsidRDefault="00DB29D7" w:rsidP="00DB29D7">
            <w:pPr>
              <w:spacing w:after="240"/>
              <w:rPr>
                <w:lang w:val="en-US"/>
              </w:rPr>
            </w:pPr>
            <w:r w:rsidRPr="00DB29D7">
              <w:rPr>
                <w:lang w:val="cs-CZ"/>
              </w:rPr>
              <w:t>Obrat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rStyle w:val="Siln"/>
                <w:lang w:val="en-US"/>
              </w:rPr>
              <w:t>Sheetfed</w:t>
            </w:r>
            <w:r w:rsidR="00A44634" w:rsidRPr="00130939">
              <w:rPr>
                <w:rStyle w:val="Siln"/>
                <w:lang w:val="en-US"/>
              </w:rPr>
              <w:br/>
              <w:t>Digital &amp; Web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b w:val="0"/>
                <w:lang w:val="en-US"/>
              </w:rPr>
              <w:t>Special</w:t>
            </w:r>
            <w:r w:rsidR="00A44634" w:rsidRPr="00130939">
              <w:rPr>
                <w:b w:val="0"/>
                <w:lang w:val="en-US"/>
              </w:rPr>
              <w:br/>
            </w:r>
            <w:r w:rsidRPr="00DB29D7">
              <w:rPr>
                <w:b w:val="0"/>
                <w:lang w:val="cs-CZ"/>
              </w:rPr>
              <w:t>Přev</w:t>
            </w:r>
            <w:r>
              <w:rPr>
                <w:b w:val="0"/>
                <w:lang w:val="cs-CZ"/>
              </w:rPr>
              <w:t>edení</w:t>
            </w:r>
          </w:p>
        </w:tc>
        <w:tc>
          <w:tcPr>
            <w:tcW w:w="1871" w:type="dxa"/>
          </w:tcPr>
          <w:p w:rsidR="00A44634" w:rsidRPr="006B2D44" w:rsidRDefault="00E855BB" w:rsidP="00E855BB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</w:rPr>
            </w:pPr>
            <w:r>
              <w:rPr>
                <w:rStyle w:val="Siln"/>
              </w:rPr>
              <w:t>514,4</w:t>
            </w:r>
            <w:r w:rsidR="006B2D44" w:rsidRPr="006B2D44">
              <w:rPr>
                <w:rStyle w:val="Siln"/>
              </w:rPr>
              <w:br/>
            </w:r>
            <w:r>
              <w:rPr>
                <w:rStyle w:val="Siln"/>
                <w:b w:val="0"/>
              </w:rPr>
              <w:t>270,8</w:t>
            </w:r>
            <w:r w:rsidR="006B2D44" w:rsidRPr="00A15613">
              <w:rPr>
                <w:rStyle w:val="Siln"/>
                <w:b w:val="0"/>
              </w:rPr>
              <w:br/>
            </w:r>
            <w:r>
              <w:rPr>
                <w:rStyle w:val="Siln"/>
                <w:b w:val="0"/>
              </w:rPr>
              <w:t>58,1</w:t>
            </w:r>
            <w:r w:rsidR="006B2D44" w:rsidRPr="006B2D44">
              <w:rPr>
                <w:rStyle w:val="Siln"/>
                <w:b w:val="0"/>
              </w:rPr>
              <w:br/>
            </w:r>
            <w:r>
              <w:rPr>
                <w:rStyle w:val="Siln"/>
                <w:b w:val="0"/>
              </w:rPr>
              <w:t>196,3</w:t>
            </w:r>
            <w:r w:rsidR="006B2D44" w:rsidRPr="006B2D44">
              <w:rPr>
                <w:rStyle w:val="Siln"/>
                <w:b w:val="0"/>
              </w:rPr>
              <w:br/>
              <w:t>-</w:t>
            </w:r>
            <w:r>
              <w:rPr>
                <w:rStyle w:val="Siln"/>
                <w:b w:val="0"/>
              </w:rPr>
              <w:t>10</w:t>
            </w:r>
            <w:r w:rsidR="00F16843">
              <w:rPr>
                <w:rStyle w:val="Siln"/>
                <w:b w:val="0"/>
              </w:rPr>
              <w:t>,</w:t>
            </w:r>
            <w:r>
              <w:rPr>
                <w:rStyle w:val="Siln"/>
                <w:b w:val="0"/>
              </w:rPr>
              <w:t>8</w:t>
            </w:r>
          </w:p>
        </w:tc>
        <w:tc>
          <w:tcPr>
            <w:tcW w:w="1871" w:type="dxa"/>
          </w:tcPr>
          <w:p w:rsidR="00A44634" w:rsidRDefault="00E855BB" w:rsidP="00E855BB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506,0</w:t>
            </w:r>
            <w:r w:rsidR="006B2D44">
              <w:br/>
            </w:r>
            <w:r>
              <w:t>257,3</w:t>
            </w:r>
            <w:r w:rsidR="006B2D44">
              <w:br/>
            </w:r>
            <w:r>
              <w:t>64,5</w:t>
            </w:r>
            <w:r w:rsidR="006B2D44">
              <w:br/>
            </w:r>
            <w:r>
              <w:t>203,6</w:t>
            </w:r>
            <w:r w:rsidR="006B2D44">
              <w:br/>
              <w:t>-</w:t>
            </w:r>
            <w:r>
              <w:t>19</w:t>
            </w:r>
            <w:r w:rsidR="00F16843">
              <w:t>,</w:t>
            </w:r>
            <w:r>
              <w:t>4</w:t>
            </w:r>
          </w:p>
        </w:tc>
        <w:tc>
          <w:tcPr>
            <w:tcW w:w="1871" w:type="dxa"/>
          </w:tcPr>
          <w:p w:rsidR="00A44634" w:rsidRDefault="00E855BB" w:rsidP="0032406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6B2D44" w:rsidRPr="00A15613">
              <w:rPr>
                <w:b/>
              </w:rPr>
              <w:t xml:space="preserve"> </w:t>
            </w:r>
            <w:r w:rsidR="00324066">
              <w:rPr>
                <w:b/>
              </w:rPr>
              <w:t>1</w:t>
            </w:r>
            <w:r w:rsidR="006B2D44" w:rsidRPr="00A15613">
              <w:rPr>
                <w:b/>
              </w:rPr>
              <w:t>,</w:t>
            </w:r>
            <w:r w:rsidR="00324066">
              <w:rPr>
                <w:b/>
              </w:rPr>
              <w:t>6</w:t>
            </w:r>
            <w:r w:rsidR="006B2D44" w:rsidRPr="00A15613">
              <w:rPr>
                <w:b/>
              </w:rPr>
              <w:t xml:space="preserve"> %</w:t>
            </w:r>
            <w:r w:rsidR="006B2D44">
              <w:br/>
            </w:r>
            <w:r>
              <w:t>-</w:t>
            </w:r>
            <w:r w:rsidR="006B2D44">
              <w:t xml:space="preserve"> </w:t>
            </w:r>
            <w:r>
              <w:t>5</w:t>
            </w:r>
            <w:r w:rsidR="006B2D44">
              <w:t>,</w:t>
            </w:r>
            <w:r>
              <w:t>0</w:t>
            </w:r>
            <w:r w:rsidR="006B2D44">
              <w:t xml:space="preserve"> %</w:t>
            </w:r>
            <w:r w:rsidR="006B2D44">
              <w:br/>
            </w:r>
            <w:r>
              <w:t>+</w:t>
            </w:r>
            <w:r w:rsidR="006B2D44">
              <w:t xml:space="preserve"> </w:t>
            </w:r>
            <w:r>
              <w:t>11</w:t>
            </w:r>
            <w:r w:rsidR="006B2D44">
              <w:t>,</w:t>
            </w:r>
            <w:r>
              <w:t>0</w:t>
            </w:r>
            <w:r w:rsidR="006B2D44">
              <w:t xml:space="preserve"> %</w:t>
            </w:r>
            <w:r w:rsidR="006B2D44">
              <w:br/>
              <w:t xml:space="preserve">+ </w:t>
            </w:r>
            <w:r>
              <w:t>3,7</w:t>
            </w:r>
            <w:r w:rsidR="006B2D44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DB29D7" w:rsidP="00DB29D7">
            <w:pPr>
              <w:spacing w:after="240"/>
            </w:pPr>
            <w:r w:rsidRPr="00DB29D7">
              <w:rPr>
                <w:lang w:val="cs-CZ"/>
              </w:rPr>
              <w:t>Objem přijatých zakázek</w:t>
            </w:r>
            <w:r w:rsidR="00A44634">
              <w:br/>
            </w:r>
            <w:r w:rsidR="00A44634" w:rsidRPr="00A15613">
              <w:rPr>
                <w:rStyle w:val="Siln"/>
              </w:rPr>
              <w:t>Sheetfed</w:t>
            </w:r>
            <w:r w:rsidR="00A44634" w:rsidRPr="00A15613">
              <w:rPr>
                <w:rStyle w:val="Siln"/>
              </w:rPr>
              <w:br/>
              <w:t>Digital &amp; Web</w:t>
            </w:r>
            <w:r w:rsidR="00A44634">
              <w:br/>
            </w:r>
            <w:r w:rsidR="00A44634" w:rsidRPr="00A44634">
              <w:rPr>
                <w:b w:val="0"/>
              </w:rPr>
              <w:t>Special</w:t>
            </w:r>
            <w:r w:rsidR="00A44634" w:rsidRPr="00A44634">
              <w:rPr>
                <w:b w:val="0"/>
              </w:rPr>
              <w:br/>
            </w:r>
            <w:r w:rsidRPr="00DB29D7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705,3</w:t>
            </w:r>
            <w:r w:rsidR="006B2D44">
              <w:br/>
            </w:r>
            <w:r>
              <w:t>313,8</w:t>
            </w:r>
            <w:r w:rsidR="006B2D44">
              <w:br/>
            </w:r>
            <w:r>
              <w:t>82,0</w:t>
            </w:r>
            <w:r w:rsidR="006B2D44">
              <w:br/>
            </w:r>
            <w:r>
              <w:t>330,2</w:t>
            </w:r>
            <w:r w:rsidR="006B2D44">
              <w:br/>
              <w:t>-</w:t>
            </w:r>
            <w:r>
              <w:t>20</w:t>
            </w:r>
            <w:r w:rsidR="00F16843">
              <w:t>,7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573,3</w:t>
            </w:r>
            <w:r w:rsidR="00A15613">
              <w:br/>
            </w:r>
            <w:r>
              <w:t>329,0</w:t>
            </w:r>
            <w:r w:rsidR="00A15613">
              <w:br/>
            </w:r>
            <w:r>
              <w:t>89</w:t>
            </w:r>
            <w:r w:rsidR="00F16843">
              <w:t>,9</w:t>
            </w:r>
            <w:r w:rsidR="00A15613">
              <w:br/>
            </w:r>
            <w:r>
              <w:t>174,5</w:t>
            </w:r>
            <w:r w:rsidR="00A15613">
              <w:br/>
              <w:t>-</w:t>
            </w:r>
            <w:r>
              <w:t>20</w:t>
            </w:r>
            <w:r w:rsidR="00A15613">
              <w:t>,</w:t>
            </w:r>
            <w:r>
              <w:t>1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-</w:t>
            </w:r>
            <w:r w:rsidR="00A15613" w:rsidRPr="00A15613">
              <w:rPr>
                <w:rStyle w:val="Siln"/>
              </w:rPr>
              <w:t xml:space="preserve"> </w:t>
            </w:r>
            <w:r w:rsidR="00F16843">
              <w:rPr>
                <w:rStyle w:val="Siln"/>
              </w:rPr>
              <w:t>1</w:t>
            </w:r>
            <w:r>
              <w:rPr>
                <w:rStyle w:val="Siln"/>
              </w:rPr>
              <w:t>8</w:t>
            </w:r>
            <w:r w:rsidR="00A15613" w:rsidRPr="00A15613">
              <w:rPr>
                <w:rStyle w:val="Siln"/>
              </w:rPr>
              <w:t>,</w:t>
            </w:r>
            <w:r>
              <w:rPr>
                <w:rStyle w:val="Siln"/>
              </w:rPr>
              <w:t>7</w:t>
            </w:r>
            <w:r w:rsidR="00A15613" w:rsidRPr="00A15613">
              <w:rPr>
                <w:rStyle w:val="Siln"/>
              </w:rPr>
              <w:t xml:space="preserve"> %</w:t>
            </w:r>
            <w:r w:rsidR="00A15613">
              <w:br/>
            </w:r>
            <w:r w:rsidR="00F16843">
              <w:t>+</w:t>
            </w:r>
            <w:r w:rsidR="00A15613">
              <w:t xml:space="preserve"> </w:t>
            </w:r>
            <w:r>
              <w:t>4</w:t>
            </w:r>
            <w:r w:rsidR="00A15613">
              <w:t>,</w:t>
            </w:r>
            <w:r>
              <w:t>8</w:t>
            </w:r>
            <w:r w:rsidR="00A15613">
              <w:t xml:space="preserve"> %</w:t>
            </w:r>
            <w:r w:rsidR="00A15613">
              <w:br/>
            </w:r>
            <w:r>
              <w:t xml:space="preserve">+ </w:t>
            </w:r>
            <w:r w:rsidR="00F16843">
              <w:t>9</w:t>
            </w:r>
            <w:r w:rsidR="00A15613">
              <w:t>,</w:t>
            </w:r>
            <w:r>
              <w:t>6</w:t>
            </w:r>
            <w:r w:rsidR="00A15613">
              <w:t xml:space="preserve"> %</w:t>
            </w:r>
            <w:r w:rsidR="00A15613">
              <w:br/>
            </w:r>
            <w:r>
              <w:t>-</w:t>
            </w:r>
            <w:r w:rsidR="00A15613">
              <w:t xml:space="preserve"> </w:t>
            </w:r>
            <w:r>
              <w:t>4</w:t>
            </w:r>
            <w:r w:rsidR="00F16843">
              <w:t>7</w:t>
            </w:r>
            <w:r w:rsidR="00A15613">
              <w:t>,</w:t>
            </w:r>
            <w:r>
              <w:t>2</w:t>
            </w:r>
            <w:r w:rsidR="00A15613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130939" w:rsidRDefault="00DB29D7" w:rsidP="00DB29D7">
            <w:pPr>
              <w:spacing w:after="240"/>
              <w:rPr>
                <w:lang w:val="en-US"/>
              </w:rPr>
            </w:pPr>
            <w:r w:rsidRPr="00DB29D7">
              <w:rPr>
                <w:lang w:val="cs-CZ"/>
              </w:rPr>
              <w:t>Stav zakázek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rStyle w:val="Siln"/>
                <w:lang w:val="en-US"/>
              </w:rPr>
              <w:t>Sheetfed</w:t>
            </w:r>
            <w:r w:rsidR="00A44634" w:rsidRPr="00130939">
              <w:rPr>
                <w:rStyle w:val="Siln"/>
                <w:lang w:val="en-US"/>
              </w:rPr>
              <w:br/>
              <w:t>Digital &amp; Web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b w:val="0"/>
                <w:lang w:val="en-US"/>
              </w:rPr>
              <w:t>Special</w:t>
            </w:r>
            <w:r w:rsidR="00A44634" w:rsidRPr="00130939">
              <w:rPr>
                <w:b w:val="0"/>
                <w:lang w:val="en-US"/>
              </w:rPr>
              <w:br/>
            </w:r>
            <w:r w:rsidRPr="00DB29D7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805,8</w:t>
            </w:r>
            <w:r w:rsidR="006B2D44">
              <w:br/>
            </w:r>
            <w:r w:rsidR="00F16843">
              <w:t>274,</w:t>
            </w:r>
            <w:r>
              <w:t>7</w:t>
            </w:r>
            <w:r w:rsidR="006B2D44">
              <w:br/>
            </w:r>
            <w:r>
              <w:t>86,4</w:t>
            </w:r>
            <w:r w:rsidR="006B2D44">
              <w:br/>
            </w:r>
            <w:r>
              <w:t>464,8</w:t>
            </w:r>
            <w:r w:rsidR="006B2D44">
              <w:br/>
              <w:t>-</w:t>
            </w:r>
            <w:r>
              <w:t>20,1</w:t>
            </w:r>
          </w:p>
        </w:tc>
        <w:tc>
          <w:tcPr>
            <w:tcW w:w="1871" w:type="dxa"/>
          </w:tcPr>
          <w:p w:rsidR="00A44634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6</w:t>
            </w:r>
            <w:r w:rsidR="001A6147">
              <w:rPr>
                <w:rStyle w:val="Siln"/>
              </w:rPr>
              <w:t>78</w:t>
            </w:r>
            <w:r>
              <w:rPr>
                <w:rStyle w:val="Siln"/>
              </w:rPr>
              <w:t>,</w:t>
            </w:r>
            <w:r w:rsidR="001A6147">
              <w:rPr>
                <w:rStyle w:val="Siln"/>
              </w:rPr>
              <w:t>2</w:t>
            </w:r>
            <w:r w:rsidR="006B2D44">
              <w:br/>
            </w:r>
            <w:r>
              <w:t>2</w:t>
            </w:r>
            <w:r w:rsidR="001A6147">
              <w:t>61</w:t>
            </w:r>
            <w:r>
              <w:t>,</w:t>
            </w:r>
            <w:r w:rsidR="001A6147">
              <w:t>6</w:t>
            </w:r>
            <w:r w:rsidR="00A15613">
              <w:br/>
            </w:r>
            <w:r w:rsidR="001A6147">
              <w:t>111,2</w:t>
            </w:r>
            <w:r w:rsidR="00A15613">
              <w:br/>
            </w:r>
            <w:r w:rsidR="001A6147">
              <w:t>315,5</w:t>
            </w:r>
            <w:r w:rsidR="00A15613">
              <w:br/>
              <w:t>-1</w:t>
            </w:r>
            <w:r w:rsidR="001A6147">
              <w:t>0</w:t>
            </w:r>
            <w:r w:rsidR="00A15613">
              <w:t>,</w:t>
            </w:r>
            <w:r w:rsidR="001A6147">
              <w:t>1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-</w:t>
            </w:r>
            <w:r w:rsidR="00A15613" w:rsidRPr="001F5D76">
              <w:rPr>
                <w:rStyle w:val="Siln"/>
              </w:rPr>
              <w:t xml:space="preserve"> </w:t>
            </w:r>
            <w:r w:rsidR="00F16843">
              <w:rPr>
                <w:rStyle w:val="Siln"/>
              </w:rPr>
              <w:t>1</w:t>
            </w:r>
            <w:r>
              <w:rPr>
                <w:rStyle w:val="Siln"/>
              </w:rPr>
              <w:t>5</w:t>
            </w:r>
            <w:r w:rsidR="00A15613" w:rsidRPr="001F5D76">
              <w:rPr>
                <w:rStyle w:val="Siln"/>
              </w:rPr>
              <w:t>,</w:t>
            </w:r>
            <w:r>
              <w:rPr>
                <w:rStyle w:val="Siln"/>
              </w:rPr>
              <w:t>8</w:t>
            </w:r>
            <w:r w:rsidR="00A15613" w:rsidRPr="001F5D76">
              <w:rPr>
                <w:rStyle w:val="Siln"/>
              </w:rPr>
              <w:t xml:space="preserve"> %</w:t>
            </w:r>
            <w:r w:rsidR="00A15613">
              <w:br/>
              <w:t xml:space="preserve">- </w:t>
            </w:r>
            <w:r>
              <w:t>4</w:t>
            </w:r>
            <w:r w:rsidR="00A15613">
              <w:t>,</w:t>
            </w:r>
            <w:r>
              <w:t>8</w:t>
            </w:r>
            <w:r w:rsidR="00A15613">
              <w:t xml:space="preserve"> %</w:t>
            </w:r>
            <w:r w:rsidR="00A15613">
              <w:br/>
              <w:t xml:space="preserve">+ </w:t>
            </w:r>
            <w:r>
              <w:t>28</w:t>
            </w:r>
            <w:r w:rsidR="00A15613">
              <w:t>,</w:t>
            </w:r>
            <w:r>
              <w:t>7</w:t>
            </w:r>
            <w:r w:rsidR="00A15613">
              <w:t xml:space="preserve"> %</w:t>
            </w:r>
            <w:r w:rsidR="00A15613">
              <w:br/>
            </w:r>
            <w:r>
              <w:t>-</w:t>
            </w:r>
            <w:r w:rsidR="00A15613">
              <w:t xml:space="preserve"> </w:t>
            </w:r>
            <w:r>
              <w:t>32,1</w:t>
            </w:r>
            <w:r w:rsidR="00A15613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130939" w:rsidRDefault="00DB29D7" w:rsidP="00DB29D7">
            <w:pPr>
              <w:spacing w:after="240"/>
              <w:rPr>
                <w:lang w:val="en-US"/>
              </w:rPr>
            </w:pPr>
            <w:r w:rsidRPr="00DB29D7">
              <w:rPr>
                <w:lang w:val="cs-CZ"/>
              </w:rPr>
              <w:t>Provozní zisk (</w:t>
            </w:r>
            <w:r w:rsidR="00A44634" w:rsidRPr="00DB29D7">
              <w:rPr>
                <w:lang w:val="cs-CZ"/>
              </w:rPr>
              <w:t>EBIT</w:t>
            </w:r>
            <w:r w:rsidRPr="00DB29D7">
              <w:rPr>
                <w:lang w:val="cs-CZ"/>
              </w:rPr>
              <w:t>)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rStyle w:val="Siln"/>
                <w:lang w:val="en-US"/>
              </w:rPr>
              <w:t>Sheetfed</w:t>
            </w:r>
            <w:r w:rsidR="00A44634" w:rsidRPr="00130939">
              <w:rPr>
                <w:rStyle w:val="Siln"/>
                <w:lang w:val="en-US"/>
              </w:rPr>
              <w:br/>
              <w:t>Digital &amp; Web</w:t>
            </w:r>
            <w:r w:rsidR="00A44634" w:rsidRPr="00130939">
              <w:rPr>
                <w:lang w:val="en-US"/>
              </w:rPr>
              <w:br/>
            </w:r>
            <w:r w:rsidR="00A44634" w:rsidRPr="00130939">
              <w:rPr>
                <w:b w:val="0"/>
                <w:lang w:val="en-US"/>
              </w:rPr>
              <w:t>Special</w:t>
            </w:r>
            <w:r w:rsidR="00A44634" w:rsidRPr="00130939">
              <w:rPr>
                <w:b w:val="0"/>
                <w:lang w:val="en-US"/>
              </w:rPr>
              <w:br/>
            </w:r>
            <w:r w:rsidRPr="00DB29D7">
              <w:rPr>
                <w:b w:val="0"/>
                <w:lang w:val="cs-CZ"/>
              </w:rPr>
              <w:t>Převedení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10</w:t>
            </w:r>
            <w:r w:rsidR="00F16843">
              <w:rPr>
                <w:rStyle w:val="Siln"/>
              </w:rPr>
              <w:t>,</w:t>
            </w:r>
            <w:r>
              <w:rPr>
                <w:rStyle w:val="Siln"/>
              </w:rPr>
              <w:t>6</w:t>
            </w:r>
            <w:r w:rsidR="006B2D44">
              <w:br/>
            </w:r>
            <w:r>
              <w:t>8,1</w:t>
            </w:r>
            <w:r w:rsidR="006B2D44">
              <w:br/>
            </w:r>
            <w:r>
              <w:t>-9,9</w:t>
            </w:r>
            <w:r w:rsidR="006B2D44">
              <w:br/>
            </w:r>
            <w:r>
              <w:t>14,7</w:t>
            </w:r>
            <w:r w:rsidR="006B2D44">
              <w:br/>
              <w:t>-</w:t>
            </w:r>
            <w:r>
              <w:t>2,3</w:t>
            </w:r>
          </w:p>
        </w:tc>
        <w:tc>
          <w:tcPr>
            <w:tcW w:w="1871" w:type="dxa"/>
          </w:tcPr>
          <w:p w:rsidR="00A44634" w:rsidRDefault="001A614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iln"/>
              </w:rPr>
              <w:t>0</w:t>
            </w:r>
            <w:r w:rsidR="00F16843">
              <w:rPr>
                <w:rStyle w:val="Siln"/>
              </w:rPr>
              <w:t>,</w:t>
            </w:r>
            <w:r>
              <w:rPr>
                <w:rStyle w:val="Siln"/>
              </w:rPr>
              <w:t>6</w:t>
            </w:r>
            <w:r w:rsidR="006B2D44">
              <w:br/>
            </w:r>
            <w:r w:rsidR="00F16843">
              <w:t>-</w:t>
            </w:r>
            <w:r>
              <w:t>1</w:t>
            </w:r>
            <w:r w:rsidR="00F16843">
              <w:t>,</w:t>
            </w:r>
            <w:r>
              <w:t>2</w:t>
            </w:r>
            <w:r w:rsidR="006B2D44">
              <w:br/>
            </w:r>
            <w:r>
              <w:t>-11,1</w:t>
            </w:r>
            <w:r w:rsidR="006B2D44">
              <w:br/>
            </w:r>
            <w:r>
              <w:t>6,4</w:t>
            </w:r>
            <w:r w:rsidR="006B2D44">
              <w:br/>
            </w:r>
            <w:r>
              <w:t>6,5</w:t>
            </w:r>
          </w:p>
        </w:tc>
        <w:tc>
          <w:tcPr>
            <w:tcW w:w="1871" w:type="dxa"/>
          </w:tcPr>
          <w:p w:rsidR="00A44634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DB29D7" w:rsidP="00DB29D7">
            <w:pPr>
              <w:spacing w:after="240"/>
            </w:pPr>
            <w:r>
              <w:rPr>
                <w:lang w:val="cs-CZ"/>
              </w:rPr>
              <w:t xml:space="preserve">Zisk </w:t>
            </w:r>
            <w:r w:rsidRPr="00DB29D7">
              <w:rPr>
                <w:lang w:val="cs-CZ"/>
              </w:rPr>
              <w:t>před zdaněním</w:t>
            </w:r>
            <w:r w:rsidR="00A44634">
              <w:t xml:space="preserve"> (EBT)</w:t>
            </w:r>
          </w:p>
        </w:tc>
        <w:tc>
          <w:tcPr>
            <w:tcW w:w="1871" w:type="dxa"/>
          </w:tcPr>
          <w:p w:rsidR="00A44634" w:rsidRPr="00A15613" w:rsidRDefault="001A614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871" w:type="dxa"/>
          </w:tcPr>
          <w:p w:rsidR="00A44634" w:rsidRPr="00A15613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1A6147">
              <w:rPr>
                <w:b/>
              </w:rPr>
              <w:t>2</w:t>
            </w:r>
            <w:r>
              <w:rPr>
                <w:b/>
              </w:rPr>
              <w:t>,</w:t>
            </w:r>
            <w:r w:rsidR="001A6147">
              <w:rPr>
                <w:b/>
              </w:rPr>
              <w:t>0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DB29D7" w:rsidP="00A44634">
            <w:pPr>
              <w:spacing w:after="240"/>
            </w:pPr>
            <w:r>
              <w:rPr>
                <w:lang w:val="cs-CZ"/>
              </w:rPr>
              <w:t>Hospodářský výsledek koncernu</w:t>
            </w:r>
          </w:p>
        </w:tc>
        <w:tc>
          <w:tcPr>
            <w:tcW w:w="1871" w:type="dxa"/>
          </w:tcPr>
          <w:p w:rsidR="00A44634" w:rsidRPr="00A15613" w:rsidRDefault="001A614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871" w:type="dxa"/>
          </w:tcPr>
          <w:p w:rsidR="00A44634" w:rsidRPr="00A15613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1A6147">
              <w:rPr>
                <w:b/>
              </w:rPr>
              <w:t>2</w:t>
            </w:r>
            <w:r>
              <w:rPr>
                <w:b/>
              </w:rPr>
              <w:t>,</w:t>
            </w:r>
            <w:r w:rsidR="001A6147">
              <w:rPr>
                <w:b/>
              </w:rPr>
              <w:t>4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DB29D7" w:rsidP="00DB29D7">
            <w:pPr>
              <w:spacing w:after="240"/>
            </w:pPr>
            <w:r w:rsidRPr="00DB29D7">
              <w:rPr>
                <w:lang w:val="cs-CZ"/>
              </w:rPr>
              <w:t>Zisk na akcii v</w:t>
            </w:r>
            <w:r w:rsidR="00A44634">
              <w:t xml:space="preserve"> €</w:t>
            </w:r>
          </w:p>
        </w:tc>
        <w:tc>
          <w:tcPr>
            <w:tcW w:w="1871" w:type="dxa"/>
          </w:tcPr>
          <w:p w:rsidR="00A44634" w:rsidRPr="00A15613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</w:t>
            </w:r>
            <w:r w:rsidR="001A6147">
              <w:rPr>
                <w:b/>
              </w:rPr>
              <w:t>39</w:t>
            </w:r>
          </w:p>
        </w:tc>
        <w:tc>
          <w:tcPr>
            <w:tcW w:w="1871" w:type="dxa"/>
          </w:tcPr>
          <w:p w:rsidR="00A44634" w:rsidRPr="00A15613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-0,</w:t>
            </w:r>
            <w:r w:rsidR="001A6147">
              <w:rPr>
                <w:b/>
              </w:rPr>
              <w:t>15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DB29D7" w:rsidRDefault="00A44634" w:rsidP="00DB29D7">
            <w:pPr>
              <w:spacing w:after="240"/>
              <w:rPr>
                <w:lang w:val="cs-CZ"/>
              </w:rPr>
            </w:pPr>
            <w:r w:rsidRPr="00DB29D7">
              <w:rPr>
                <w:lang w:val="cs-CZ"/>
              </w:rPr>
              <w:t xml:space="preserve">Cashflow </w:t>
            </w:r>
            <w:r w:rsidR="00DB29D7" w:rsidRPr="00DB29D7">
              <w:rPr>
                <w:lang w:val="cs-CZ"/>
              </w:rPr>
              <w:t>z provozní činnosti</w:t>
            </w:r>
          </w:p>
        </w:tc>
        <w:tc>
          <w:tcPr>
            <w:tcW w:w="1871" w:type="dxa"/>
          </w:tcPr>
          <w:p w:rsidR="00A44634" w:rsidRPr="00A15613" w:rsidRDefault="001A614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871" w:type="dxa"/>
          </w:tcPr>
          <w:p w:rsidR="00A44634" w:rsidRPr="00A15613" w:rsidRDefault="00F16843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1A6147">
              <w:rPr>
                <w:b/>
              </w:rPr>
              <w:t>96</w:t>
            </w:r>
            <w:r>
              <w:rPr>
                <w:b/>
              </w:rPr>
              <w:t>,</w:t>
            </w:r>
            <w:r w:rsidR="001A6147">
              <w:rPr>
                <w:b/>
              </w:rPr>
              <w:t>5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DB29D7" w:rsidRDefault="00A44634" w:rsidP="00DB29D7">
            <w:pPr>
              <w:spacing w:after="240"/>
              <w:rPr>
                <w:lang w:val="cs-CZ"/>
              </w:rPr>
            </w:pPr>
            <w:r w:rsidRPr="00DB29D7">
              <w:rPr>
                <w:lang w:val="cs-CZ"/>
              </w:rPr>
              <w:t>Bilan</w:t>
            </w:r>
            <w:r w:rsidR="00DB29D7" w:rsidRPr="00DB29D7">
              <w:rPr>
                <w:lang w:val="cs-CZ"/>
              </w:rPr>
              <w:t>ční suma</w:t>
            </w:r>
            <w:r w:rsidR="006E3618" w:rsidRPr="00DB29D7">
              <w:rPr>
                <w:b w:val="0"/>
                <w:lang w:val="cs-CZ"/>
              </w:rPr>
              <w:t xml:space="preserve"> (</w:t>
            </w:r>
            <w:r w:rsidR="00DB29D7" w:rsidRPr="00DB29D7">
              <w:rPr>
                <w:b w:val="0"/>
                <w:lang w:val="cs-CZ"/>
              </w:rPr>
              <w:t>předchozí rok</w:t>
            </w:r>
            <w:r w:rsidR="006E3618" w:rsidRPr="00DB29D7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A15613" w:rsidRDefault="006B2D44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1.1</w:t>
            </w:r>
            <w:r w:rsidR="00F16843">
              <w:rPr>
                <w:b/>
              </w:rPr>
              <w:t>78,3</w:t>
            </w:r>
          </w:p>
        </w:tc>
        <w:tc>
          <w:tcPr>
            <w:tcW w:w="1871" w:type="dxa"/>
          </w:tcPr>
          <w:p w:rsidR="00A44634" w:rsidRPr="00A15613" w:rsidRDefault="006B2D44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</w:t>
            </w:r>
            <w:r w:rsidR="001A6147">
              <w:rPr>
                <w:b/>
              </w:rPr>
              <w:t>24</w:t>
            </w:r>
            <w:r w:rsidR="00F16843">
              <w:rPr>
                <w:b/>
              </w:rPr>
              <w:t>5</w:t>
            </w:r>
            <w:r w:rsidRPr="00A15613">
              <w:rPr>
                <w:b/>
              </w:rPr>
              <w:t>,</w:t>
            </w:r>
            <w:r w:rsidR="001A6147">
              <w:rPr>
                <w:b/>
              </w:rPr>
              <w:t>5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DB29D7" w:rsidRDefault="00DB29D7" w:rsidP="00DB29D7">
            <w:pPr>
              <w:spacing w:after="240"/>
              <w:rPr>
                <w:lang w:val="cs-CZ"/>
              </w:rPr>
            </w:pPr>
            <w:r w:rsidRPr="00DB29D7">
              <w:rPr>
                <w:lang w:val="cs-CZ"/>
              </w:rPr>
              <w:t>Vlastní kapitál</w:t>
            </w:r>
            <w:r w:rsidR="006E3618" w:rsidRPr="00DB29D7">
              <w:rPr>
                <w:b w:val="0"/>
                <w:lang w:val="cs-CZ"/>
              </w:rPr>
              <w:t xml:space="preserve"> (</w:t>
            </w:r>
            <w:r w:rsidRPr="00DB29D7">
              <w:rPr>
                <w:b w:val="0"/>
                <w:lang w:val="cs-CZ"/>
              </w:rPr>
              <w:t>předchozí rok</w:t>
            </w:r>
            <w:r w:rsidR="006E3618" w:rsidRPr="00DB29D7">
              <w:rPr>
                <w:b w:val="0"/>
                <w:lang w:val="cs-CZ"/>
              </w:rPr>
              <w:t>: 31.12.)</w:t>
            </w:r>
          </w:p>
        </w:tc>
        <w:tc>
          <w:tcPr>
            <w:tcW w:w="1871" w:type="dxa"/>
          </w:tcPr>
          <w:p w:rsidR="00A44634" w:rsidRPr="00A15613" w:rsidRDefault="00F16843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A44634" w:rsidRPr="00A15613" w:rsidRDefault="001A6147" w:rsidP="00F1684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420,9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Pr="001B318C" w:rsidRDefault="001B318C" w:rsidP="001B318C">
            <w:pPr>
              <w:spacing w:after="240"/>
              <w:rPr>
                <w:lang w:val="cs-CZ"/>
              </w:rPr>
            </w:pPr>
            <w:r w:rsidRPr="001B318C">
              <w:rPr>
                <w:lang w:val="cs-CZ"/>
              </w:rPr>
              <w:t>Zaměstnanci k</w:t>
            </w:r>
            <w:r w:rsidR="00054517" w:rsidRPr="001B318C">
              <w:rPr>
                <w:lang w:val="cs-CZ"/>
              </w:rPr>
              <w:t xml:space="preserve"> 30.06.</w:t>
            </w:r>
            <w:r w:rsidR="00A44634" w:rsidRPr="001B318C">
              <w:rPr>
                <w:lang w:val="cs-CZ"/>
              </w:rPr>
              <w:br/>
            </w:r>
            <w:r w:rsidRPr="001B318C">
              <w:rPr>
                <w:b w:val="0"/>
                <w:lang w:val="cs-CZ"/>
              </w:rPr>
              <w:t>z toho učňové/praktikanti</w:t>
            </w:r>
          </w:p>
        </w:tc>
        <w:tc>
          <w:tcPr>
            <w:tcW w:w="1871" w:type="dxa"/>
          </w:tcPr>
          <w:p w:rsidR="00A44634" w:rsidRPr="00A15613" w:rsidRDefault="006B2D44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</w:t>
            </w:r>
            <w:r w:rsidR="00F16843">
              <w:rPr>
                <w:b/>
              </w:rPr>
              <w:t>60</w:t>
            </w:r>
            <w:r w:rsidR="001A6147">
              <w:rPr>
                <w:b/>
              </w:rPr>
              <w:t>5</w:t>
            </w:r>
            <w:r w:rsidRPr="00A15613">
              <w:rPr>
                <w:b/>
              </w:rPr>
              <w:br/>
            </w:r>
            <w:r w:rsidR="00F16843">
              <w:t>2</w:t>
            </w:r>
            <w:r w:rsidR="001A6147">
              <w:t>60</w:t>
            </w:r>
          </w:p>
        </w:tc>
        <w:tc>
          <w:tcPr>
            <w:tcW w:w="1871" w:type="dxa"/>
          </w:tcPr>
          <w:p w:rsidR="00A44634" w:rsidRPr="00A15613" w:rsidRDefault="006B2D44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5.7</w:t>
            </w:r>
            <w:r w:rsidR="001A6147">
              <w:rPr>
                <w:b/>
              </w:rPr>
              <w:t>25</w:t>
            </w:r>
            <w:r w:rsidRPr="00A15613">
              <w:rPr>
                <w:b/>
              </w:rPr>
              <w:br/>
            </w:r>
            <w:r w:rsidR="00F16843">
              <w:t>27</w:t>
            </w:r>
            <w:r w:rsidR="001A6147">
              <w:t>5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C73CA" w:rsidRPr="00A44634" w:rsidRDefault="00EC73CA" w:rsidP="00A44634">
      <w:pPr>
        <w:spacing w:after="240"/>
      </w:pPr>
    </w:p>
    <w:sectPr w:rsidR="00EC73CA" w:rsidRPr="00A44634" w:rsidSect="00EC7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EE" w:rsidRDefault="001933EE" w:rsidP="00647A4F">
      <w:pPr>
        <w:spacing w:after="240"/>
      </w:pPr>
      <w:r>
        <w:separator/>
      </w:r>
    </w:p>
    <w:p w:rsidR="001933EE" w:rsidRDefault="001933EE" w:rsidP="00647A4F">
      <w:pPr>
        <w:spacing w:after="240"/>
      </w:pPr>
    </w:p>
  </w:endnote>
  <w:endnote w:type="continuationSeparator" w:id="0">
    <w:p w:rsidR="001933EE" w:rsidRDefault="001933EE" w:rsidP="00647A4F">
      <w:pPr>
        <w:spacing w:after="240"/>
      </w:pPr>
      <w:r>
        <w:continuationSeparator/>
      </w:r>
    </w:p>
    <w:p w:rsidR="001933EE" w:rsidRDefault="001933EE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F82B5C" w:rsidRDefault="00C23AA9" w:rsidP="00182744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27A4">
          <w:t xml:space="preserve">Koenig &amp; Bauer </w:t>
        </w:r>
        <w:r w:rsidR="00DC55DD">
          <w:t>potvrzuje cíle koncernu pro rok</w:t>
        </w:r>
        <w:r w:rsidR="00E92EF2">
          <w:t xml:space="preserve"> 2019</w:t>
        </w:r>
      </w:sdtContent>
    </w:sdt>
    <w:r w:rsidR="004027A4">
      <w:t xml:space="preserve"> | </w:t>
    </w:r>
    <w:r w:rsidR="002363F5">
      <w:fldChar w:fldCharType="begin"/>
    </w:r>
    <w:r w:rsidR="004027A4">
      <w:instrText xml:space="preserve"> PAGE </w:instrText>
    </w:r>
    <w:r w:rsidR="002363F5">
      <w:fldChar w:fldCharType="separate"/>
    </w:r>
    <w:r>
      <w:t>1</w:t>
    </w:r>
    <w:r w:rsidR="002363F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C23AA9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55DD">
          <w:t>Koenig &amp; Bauer potvrzuje cíle koncernu pro rok 2019</w:t>
        </w:r>
      </w:sdtContent>
    </w:sdt>
    <w:r w:rsidR="004027A4">
      <w:t xml:space="preserve"> | </w:t>
    </w:r>
    <w:r w:rsidR="002363F5">
      <w:fldChar w:fldCharType="begin"/>
    </w:r>
    <w:r w:rsidR="004027A4">
      <w:instrText xml:space="preserve"> PAGE </w:instrText>
    </w:r>
    <w:r w:rsidR="002363F5">
      <w:fldChar w:fldCharType="separate"/>
    </w:r>
    <w:r w:rsidR="004027A4">
      <w:t>1</w:t>
    </w:r>
    <w:r w:rsidR="002363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EE" w:rsidRDefault="001933EE" w:rsidP="00647A4F">
      <w:pPr>
        <w:spacing w:after="240"/>
      </w:pPr>
      <w:r>
        <w:separator/>
      </w:r>
    </w:p>
  </w:footnote>
  <w:footnote w:type="continuationSeparator" w:id="0">
    <w:p w:rsidR="001933EE" w:rsidRDefault="001933EE" w:rsidP="00647A4F">
      <w:pPr>
        <w:spacing w:after="240"/>
      </w:pPr>
      <w:r>
        <w:continuationSeparator/>
      </w:r>
    </w:p>
    <w:p w:rsidR="001933EE" w:rsidRDefault="001933EE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0B7CEC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F56"/>
    <w:rsid w:val="0000051F"/>
    <w:rsid w:val="00002FD9"/>
    <w:rsid w:val="00051F1D"/>
    <w:rsid w:val="00054517"/>
    <w:rsid w:val="00056DB6"/>
    <w:rsid w:val="000706A2"/>
    <w:rsid w:val="00077BFF"/>
    <w:rsid w:val="000A70ED"/>
    <w:rsid w:val="000B7CEC"/>
    <w:rsid w:val="000C49F7"/>
    <w:rsid w:val="000C511A"/>
    <w:rsid w:val="000C534C"/>
    <w:rsid w:val="000D1507"/>
    <w:rsid w:val="000E431A"/>
    <w:rsid w:val="000F62AD"/>
    <w:rsid w:val="00116A26"/>
    <w:rsid w:val="0012268F"/>
    <w:rsid w:val="00130939"/>
    <w:rsid w:val="00133BCF"/>
    <w:rsid w:val="00151468"/>
    <w:rsid w:val="00163241"/>
    <w:rsid w:val="0016411F"/>
    <w:rsid w:val="0016673A"/>
    <w:rsid w:val="0016774E"/>
    <w:rsid w:val="001807EE"/>
    <w:rsid w:val="00182744"/>
    <w:rsid w:val="001933EE"/>
    <w:rsid w:val="001A6147"/>
    <w:rsid w:val="001B318C"/>
    <w:rsid w:val="001B5BAA"/>
    <w:rsid w:val="001B747C"/>
    <w:rsid w:val="001C394D"/>
    <w:rsid w:val="001E5ABB"/>
    <w:rsid w:val="001F5D76"/>
    <w:rsid w:val="00204EAE"/>
    <w:rsid w:val="0021638F"/>
    <w:rsid w:val="002175CB"/>
    <w:rsid w:val="00217888"/>
    <w:rsid w:val="0022027F"/>
    <w:rsid w:val="002363F5"/>
    <w:rsid w:val="00257647"/>
    <w:rsid w:val="00262470"/>
    <w:rsid w:val="00265400"/>
    <w:rsid w:val="0027081D"/>
    <w:rsid w:val="00282128"/>
    <w:rsid w:val="002A5D4F"/>
    <w:rsid w:val="002B77B3"/>
    <w:rsid w:val="002C05E4"/>
    <w:rsid w:val="002E1AB6"/>
    <w:rsid w:val="002E3557"/>
    <w:rsid w:val="00317AD1"/>
    <w:rsid w:val="00324066"/>
    <w:rsid w:val="00324789"/>
    <w:rsid w:val="00324B88"/>
    <w:rsid w:val="00356744"/>
    <w:rsid w:val="003603A1"/>
    <w:rsid w:val="00382047"/>
    <w:rsid w:val="00386CEE"/>
    <w:rsid w:val="003929BD"/>
    <w:rsid w:val="003A0BCE"/>
    <w:rsid w:val="003B706C"/>
    <w:rsid w:val="003B7A63"/>
    <w:rsid w:val="003C27FE"/>
    <w:rsid w:val="003D1D5D"/>
    <w:rsid w:val="004027A4"/>
    <w:rsid w:val="00407116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7637C"/>
    <w:rsid w:val="00482262"/>
    <w:rsid w:val="004B1583"/>
    <w:rsid w:val="004B210E"/>
    <w:rsid w:val="004B5DBB"/>
    <w:rsid w:val="004D1BB9"/>
    <w:rsid w:val="004E33CC"/>
    <w:rsid w:val="004E6239"/>
    <w:rsid w:val="004F0C68"/>
    <w:rsid w:val="00522321"/>
    <w:rsid w:val="00524C68"/>
    <w:rsid w:val="00533745"/>
    <w:rsid w:val="0055123F"/>
    <w:rsid w:val="00563C4E"/>
    <w:rsid w:val="0057450D"/>
    <w:rsid w:val="00581FA3"/>
    <w:rsid w:val="00584EAD"/>
    <w:rsid w:val="00585BB7"/>
    <w:rsid w:val="005865F5"/>
    <w:rsid w:val="005874E5"/>
    <w:rsid w:val="005A1925"/>
    <w:rsid w:val="005A281B"/>
    <w:rsid w:val="005B1FCC"/>
    <w:rsid w:val="005E1ABB"/>
    <w:rsid w:val="005E5705"/>
    <w:rsid w:val="005F3C60"/>
    <w:rsid w:val="005F53EE"/>
    <w:rsid w:val="00614D7E"/>
    <w:rsid w:val="0063340E"/>
    <w:rsid w:val="00647A4F"/>
    <w:rsid w:val="006734CF"/>
    <w:rsid w:val="00673988"/>
    <w:rsid w:val="00677B21"/>
    <w:rsid w:val="006829DB"/>
    <w:rsid w:val="006842F6"/>
    <w:rsid w:val="00697DB1"/>
    <w:rsid w:val="006A0BDA"/>
    <w:rsid w:val="006B2D44"/>
    <w:rsid w:val="006C637E"/>
    <w:rsid w:val="006E3618"/>
    <w:rsid w:val="006F47C7"/>
    <w:rsid w:val="00704DFC"/>
    <w:rsid w:val="00707BC0"/>
    <w:rsid w:val="007152CC"/>
    <w:rsid w:val="00722296"/>
    <w:rsid w:val="007334F4"/>
    <w:rsid w:val="00733B90"/>
    <w:rsid w:val="0074617A"/>
    <w:rsid w:val="0075319B"/>
    <w:rsid w:val="00753E7D"/>
    <w:rsid w:val="00754EDF"/>
    <w:rsid w:val="00780DE4"/>
    <w:rsid w:val="00781882"/>
    <w:rsid w:val="00787DD5"/>
    <w:rsid w:val="007A0146"/>
    <w:rsid w:val="007A1916"/>
    <w:rsid w:val="007C5289"/>
    <w:rsid w:val="007C5C86"/>
    <w:rsid w:val="007D0BC7"/>
    <w:rsid w:val="007E2163"/>
    <w:rsid w:val="007E23ED"/>
    <w:rsid w:val="007E590B"/>
    <w:rsid w:val="007E7566"/>
    <w:rsid w:val="007F034C"/>
    <w:rsid w:val="00854099"/>
    <w:rsid w:val="00866F90"/>
    <w:rsid w:val="00884277"/>
    <w:rsid w:val="00885B9B"/>
    <w:rsid w:val="00886F29"/>
    <w:rsid w:val="008A14C6"/>
    <w:rsid w:val="008B6066"/>
    <w:rsid w:val="008C2BC0"/>
    <w:rsid w:val="008C5FFE"/>
    <w:rsid w:val="008C6097"/>
    <w:rsid w:val="00914591"/>
    <w:rsid w:val="009229D0"/>
    <w:rsid w:val="00953661"/>
    <w:rsid w:val="00975E61"/>
    <w:rsid w:val="009870F4"/>
    <w:rsid w:val="009A1310"/>
    <w:rsid w:val="009B10BB"/>
    <w:rsid w:val="009C461C"/>
    <w:rsid w:val="009D06B5"/>
    <w:rsid w:val="009E29CD"/>
    <w:rsid w:val="009E7CEF"/>
    <w:rsid w:val="00A10D03"/>
    <w:rsid w:val="00A112E7"/>
    <w:rsid w:val="00A15613"/>
    <w:rsid w:val="00A207E9"/>
    <w:rsid w:val="00A241F4"/>
    <w:rsid w:val="00A330C0"/>
    <w:rsid w:val="00A37572"/>
    <w:rsid w:val="00A44634"/>
    <w:rsid w:val="00A5372F"/>
    <w:rsid w:val="00A561D4"/>
    <w:rsid w:val="00A601FE"/>
    <w:rsid w:val="00A60D90"/>
    <w:rsid w:val="00A669E1"/>
    <w:rsid w:val="00A670BE"/>
    <w:rsid w:val="00A77974"/>
    <w:rsid w:val="00A86E07"/>
    <w:rsid w:val="00A94015"/>
    <w:rsid w:val="00A95799"/>
    <w:rsid w:val="00AA6529"/>
    <w:rsid w:val="00AA6E8F"/>
    <w:rsid w:val="00AD1C4B"/>
    <w:rsid w:val="00AF4C5F"/>
    <w:rsid w:val="00B06C8C"/>
    <w:rsid w:val="00B4385D"/>
    <w:rsid w:val="00B51FA3"/>
    <w:rsid w:val="00B622F0"/>
    <w:rsid w:val="00B66B5F"/>
    <w:rsid w:val="00BA2331"/>
    <w:rsid w:val="00BA3329"/>
    <w:rsid w:val="00BC4F56"/>
    <w:rsid w:val="00BD7EEE"/>
    <w:rsid w:val="00BF5D04"/>
    <w:rsid w:val="00BF6AC1"/>
    <w:rsid w:val="00C0462C"/>
    <w:rsid w:val="00C06B94"/>
    <w:rsid w:val="00C1069D"/>
    <w:rsid w:val="00C23AA9"/>
    <w:rsid w:val="00C275C9"/>
    <w:rsid w:val="00C40AE2"/>
    <w:rsid w:val="00C55710"/>
    <w:rsid w:val="00C66DA1"/>
    <w:rsid w:val="00C905B6"/>
    <w:rsid w:val="00C97C18"/>
    <w:rsid w:val="00CC3592"/>
    <w:rsid w:val="00CC57C9"/>
    <w:rsid w:val="00CD0A11"/>
    <w:rsid w:val="00CD37A1"/>
    <w:rsid w:val="00CD4F3C"/>
    <w:rsid w:val="00CE1F7E"/>
    <w:rsid w:val="00CE56BD"/>
    <w:rsid w:val="00CE7598"/>
    <w:rsid w:val="00D05BF0"/>
    <w:rsid w:val="00D23C2E"/>
    <w:rsid w:val="00D37C08"/>
    <w:rsid w:val="00D430A8"/>
    <w:rsid w:val="00D52424"/>
    <w:rsid w:val="00D66283"/>
    <w:rsid w:val="00D70659"/>
    <w:rsid w:val="00D80630"/>
    <w:rsid w:val="00D87652"/>
    <w:rsid w:val="00D95359"/>
    <w:rsid w:val="00DA7970"/>
    <w:rsid w:val="00DB29D7"/>
    <w:rsid w:val="00DB58AD"/>
    <w:rsid w:val="00DC532B"/>
    <w:rsid w:val="00DC55DD"/>
    <w:rsid w:val="00DC7376"/>
    <w:rsid w:val="00DD406D"/>
    <w:rsid w:val="00DE3622"/>
    <w:rsid w:val="00DF560B"/>
    <w:rsid w:val="00E1738C"/>
    <w:rsid w:val="00E30EBC"/>
    <w:rsid w:val="00E52883"/>
    <w:rsid w:val="00E75308"/>
    <w:rsid w:val="00E7632B"/>
    <w:rsid w:val="00E855BB"/>
    <w:rsid w:val="00E9035D"/>
    <w:rsid w:val="00E92EF2"/>
    <w:rsid w:val="00E9379C"/>
    <w:rsid w:val="00E95EC4"/>
    <w:rsid w:val="00E960DA"/>
    <w:rsid w:val="00EA1A60"/>
    <w:rsid w:val="00EA4506"/>
    <w:rsid w:val="00EC73CA"/>
    <w:rsid w:val="00F01893"/>
    <w:rsid w:val="00F027B2"/>
    <w:rsid w:val="00F16843"/>
    <w:rsid w:val="00F43876"/>
    <w:rsid w:val="00F53973"/>
    <w:rsid w:val="00F5748A"/>
    <w:rsid w:val="00F63846"/>
    <w:rsid w:val="00F72EBD"/>
    <w:rsid w:val="00F82B5C"/>
    <w:rsid w:val="00F84F59"/>
    <w:rsid w:val="00F9631F"/>
    <w:rsid w:val="00FA2046"/>
    <w:rsid w:val="00FA5ACD"/>
    <w:rsid w:val="00FB2412"/>
    <w:rsid w:val="00FB2E09"/>
    <w:rsid w:val="00FB38C5"/>
    <w:rsid w:val="00FB7156"/>
    <w:rsid w:val="00FC73CA"/>
    <w:rsid w:val="00FC7E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EA0614-AB4D-45B0-8365-A77AFD2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9A1310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  <w:lang w:val="cs-CZ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A1310"/>
    <w:rPr>
      <w:rFonts w:asciiTheme="majorHAnsi" w:eastAsiaTheme="majorEastAsia" w:hAnsiTheme="majorHAnsi" w:cstheme="majorBidi"/>
      <w:b/>
      <w:color w:val="002355" w:themeColor="text2"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afterLines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afterLines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afterLines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afterLines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afterLines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character" w:styleId="Zdraznnjemn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lntabulka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Normln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  <w:style w:type="character" w:customStyle="1" w:styleId="tlid-translation">
    <w:name w:val="tlid-translation"/>
    <w:basedOn w:val="Standardnpsmoodstavce"/>
    <w:rsid w:val="00914591"/>
  </w:style>
  <w:style w:type="paragraph" w:customStyle="1" w:styleId="FlietextStandard">
    <w:name w:val="Fließtext Standard"/>
    <w:basedOn w:val="Normln"/>
    <w:link w:val="FlietextStandardZchn"/>
    <w:uiPriority w:val="10"/>
    <w:qFormat/>
    <w:rsid w:val="00DB29D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</w:pPr>
    <w:rPr>
      <w:rFonts w:ascii="Arial" w:eastAsia="Times New Roman" w:hAnsi="Arial" w:cs="Times New Roman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DB29D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4465-4DE9-4AF7-B831-31E2BB8F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1611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Koenig &amp; Bauer potvrzuje cíle koncernu pro rok 2019</vt:lpstr>
      <vt:lpstr>Koenig &amp; Bauer kommt bei strategischen Projekten für nachhaltiges profitables Wachstum gut voran</vt:lpstr>
    </vt:vector>
  </TitlesOfParts>
  <Company>Koenig &amp; Bauer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potvrzuje cíle koncernu pro rok 2019</dc:title>
  <dc:creator>Bausenwein, Linda (ZM)</dc:creator>
  <dc:description>Optimiert für Word 2016</dc:description>
  <cp:lastModifiedBy>Stanislav Vaníček</cp:lastModifiedBy>
  <cp:revision>7</cp:revision>
  <cp:lastPrinted>2019-08-08T11:49:00Z</cp:lastPrinted>
  <dcterms:created xsi:type="dcterms:W3CDTF">2019-08-06T18:37:00Z</dcterms:created>
  <dcterms:modified xsi:type="dcterms:W3CDTF">2019-08-08T12:00:00Z</dcterms:modified>
</cp:coreProperties>
</file>