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BFA3" w14:textId="5E4096DB" w:rsidR="008B2CD0" w:rsidRPr="00A16DD3" w:rsidRDefault="00E86579">
      <w:pPr>
        <w:pStyle w:val="Nzev"/>
        <w:rPr>
          <w:lang w:val="cs-CZ"/>
        </w:rPr>
      </w:pPr>
      <w:r w:rsidRPr="00A16DD3">
        <w:rPr>
          <w:lang w:val="cs-CZ"/>
        </w:rPr>
        <w:t>Tisková zpráva</w:t>
      </w:r>
    </w:p>
    <w:p w14:paraId="799B036C" w14:textId="77777777" w:rsidR="00A16DD3" w:rsidRPr="00A16DD3" w:rsidRDefault="00A16DD3" w:rsidP="00A16DD3">
      <w:pPr>
        <w:pStyle w:val="Nadpis1"/>
        <w:tabs>
          <w:tab w:val="left" w:pos="850"/>
        </w:tabs>
        <w:rPr>
          <w:color w:val="002060"/>
          <w:lang w:val="cs-CZ"/>
        </w:rPr>
      </w:pPr>
      <w:bookmarkStart w:id="0" w:name="_37q07cp91crq" w:colFirst="0" w:colLast="0"/>
      <w:bookmarkEnd w:id="0"/>
      <w:r w:rsidRPr="00A16DD3">
        <w:rPr>
          <w:color w:val="002060"/>
          <w:lang w:val="cs-CZ"/>
        </w:rPr>
        <w:t xml:space="preserve">Společnost Koenig &amp; Bauer zaznamenala silné druhé čtvrtletí: výrazný nárůst objednávek, znatelné zlepšení výsledků v průběhu roku a kladné volné cash </w:t>
      </w:r>
      <w:proofErr w:type="spellStart"/>
      <w:r w:rsidRPr="00A16DD3">
        <w:rPr>
          <w:color w:val="002060"/>
          <w:lang w:val="cs-CZ"/>
        </w:rPr>
        <w:t>flow</w:t>
      </w:r>
      <w:proofErr w:type="spellEnd"/>
    </w:p>
    <w:p w14:paraId="73D9795F" w14:textId="77777777" w:rsidR="008B2CD0" w:rsidRPr="00A16DD3" w:rsidRDefault="008B2CD0">
      <w:pPr>
        <w:rPr>
          <w:lang w:val="cs-CZ"/>
        </w:rPr>
      </w:pPr>
      <w:bookmarkStart w:id="1" w:name="_ig3dbjvaveo" w:colFirst="0" w:colLast="0"/>
      <w:bookmarkEnd w:id="1"/>
    </w:p>
    <w:p w14:paraId="333E6D15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bookmarkStart w:id="2" w:name="_3znysh7" w:colFirst="0" w:colLast="0"/>
      <w:bookmarkEnd w:id="2"/>
      <w:r w:rsidRPr="00A16DD3">
        <w:rPr>
          <w:lang w:val="cs-CZ"/>
        </w:rPr>
        <w:t>Nejvyšší objem přijatých zakázek za první pololetí za posledních osm let: výrazný nárůst o +16,9 % na 709,3 mil. €, přičemž objem nevyřízených zakázek dosáhl nového historického maxima 1 121,7 mil. €</w:t>
      </w:r>
    </w:p>
    <w:p w14:paraId="7CEB86B5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>Tržby skupiny mírně vzrostly o +1,4 % na 558,2 mil. €; silný poměr objednávek k tržbám (</w:t>
      </w:r>
      <w:proofErr w:type="spellStart"/>
      <w:r w:rsidRPr="00A16DD3">
        <w:rPr>
          <w:lang w:val="cs-CZ"/>
        </w:rPr>
        <w:t>Book</w:t>
      </w:r>
      <w:proofErr w:type="spellEnd"/>
      <w:r w:rsidRPr="00A16DD3">
        <w:rPr>
          <w:lang w:val="cs-CZ"/>
        </w:rPr>
        <w:t>-to-Bill Ratio) ve výši 1,27 v prvním pololetí potvrzuje vysokou dynamiku růstu</w:t>
      </w:r>
    </w:p>
    <w:p w14:paraId="729BC3EA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>Výrazné mezičtvrtletní zlepšení výsledků ve 2. čtvrtletí 2026, kdy provozní EBITDA dosáhla 17,0 mil. €, zvýšilo pololetní výsledek o +20,5 % na 14,1 mil. €</w:t>
      </w:r>
    </w:p>
    <w:p w14:paraId="5CB7D314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 xml:space="preserve">Kladné volné cash </w:t>
      </w:r>
      <w:proofErr w:type="spellStart"/>
      <w:r w:rsidRPr="00A16DD3">
        <w:rPr>
          <w:lang w:val="cs-CZ"/>
        </w:rPr>
        <w:t>flow</w:t>
      </w:r>
      <w:proofErr w:type="spellEnd"/>
      <w:r w:rsidRPr="00A16DD3">
        <w:rPr>
          <w:lang w:val="cs-CZ"/>
        </w:rPr>
        <w:t xml:space="preserve"> ve výši +16,8 mil. € ve 2. čtvrtletí 2026 představuje výrazné zlepšení oproti předchozímu roku (-55,3 mil. €); míra čistého pracovního kapitálu (NWC) v prvním pololetí na úrovni 21,4 % zůstává bezpečně pod maximální hranicí</w:t>
      </w:r>
    </w:p>
    <w:p w14:paraId="132995D6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>Oživení ve 2. čtvrtletí 2026 podpořily oba segmenty. Segment S&amp;T vykázal v prvním pololetí silnou provozní EBITDA ve výši 11,8 mil. €, zatímco segment P&amp;P se ve 2. čtvrtletí 2026 s výsledkem +6,8 mil. € vrátil do ziskovosti</w:t>
      </w:r>
    </w:p>
    <w:p w14:paraId="3D65F7FA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>Za účelem zajištění ziskovosti v segmentu P&amp;P byla k 1. červenci 2026 provedena cenová úprava o +3 %, která kompenzuje dopady přesahující rámec cílených opatření ke snižování nákladů v reakci na geopoliticky podmíněný tlak na náklady</w:t>
      </w:r>
    </w:p>
    <w:p w14:paraId="0BE7055E" w14:textId="77777777" w:rsidR="00A16DD3" w:rsidRPr="00A16DD3" w:rsidRDefault="00A16DD3" w:rsidP="00A16DD3">
      <w:pPr>
        <w:pStyle w:val="Odstavecseseznamem"/>
        <w:numPr>
          <w:ilvl w:val="0"/>
          <w:numId w:val="4"/>
        </w:numPr>
        <w:spacing w:after="160" w:line="259" w:lineRule="auto"/>
        <w:rPr>
          <w:lang w:val="cs-CZ"/>
        </w:rPr>
      </w:pPr>
      <w:r w:rsidRPr="00A16DD3">
        <w:rPr>
          <w:lang w:val="cs-CZ"/>
        </w:rPr>
        <w:t>Potvrzen výhled na rok 2026: očekává se stabilní konsolidovaný obrat na úrovni předchozího roku (~1,3 mld. €) a provozní EBITDA přibližně 80 mil. €</w:t>
      </w:r>
    </w:p>
    <w:p w14:paraId="4E311927" w14:textId="77777777" w:rsidR="00E86579" w:rsidRPr="00A16DD3" w:rsidRDefault="00E86579" w:rsidP="00E86579">
      <w:pPr>
        <w:rPr>
          <w:lang w:val="cs-CZ"/>
        </w:rPr>
      </w:pPr>
    </w:p>
    <w:p w14:paraId="329411AE" w14:textId="77777777" w:rsidR="00A16DD3" w:rsidRPr="00A16DD3" w:rsidRDefault="00A16DD3" w:rsidP="00A16DD3">
      <w:pPr>
        <w:rPr>
          <w:lang w:val="cs-CZ"/>
        </w:rPr>
      </w:pPr>
      <w:proofErr w:type="spellStart"/>
      <w:r w:rsidRPr="00A16DD3">
        <w:rPr>
          <w:lang w:val="cs-CZ"/>
        </w:rPr>
        <w:t>Würzburg</w:t>
      </w:r>
      <w:proofErr w:type="spellEnd"/>
      <w:r w:rsidRPr="00A16DD3">
        <w:rPr>
          <w:lang w:val="cs-CZ"/>
        </w:rPr>
        <w:t>, 6. srpna 2026</w:t>
      </w:r>
      <w:r w:rsidRPr="00A16DD3">
        <w:rPr>
          <w:lang w:val="cs-CZ"/>
        </w:rPr>
        <w:br/>
        <w:t>Společnost Koenig &amp; Bauer AG zaznamenala ve druhém čtvrtletí roku 2026 výrazné zlepšení provozního výsledku. Významný nárůst objemu přijatých zakázek, úspěšný obrat ve vývoji obou segmentů během čtvrtletí a podstatně lepší tvorba hotovosti potvrzují vysokou odolnost a ziskovost technologického koncernu i v náročném tržním prostředí.</w:t>
      </w:r>
    </w:p>
    <w:p w14:paraId="75771062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„Výrazný nárůst objednávek o téměř 17 procent v prvním pololetí potvrzuje atraktivitu naší strategie Go-To-Market,“ uvádí předseda představenstva Dr. Stephen </w:t>
      </w:r>
      <w:proofErr w:type="spellStart"/>
      <w:r w:rsidRPr="00A16DD3">
        <w:rPr>
          <w:lang w:val="cs-CZ"/>
        </w:rPr>
        <w:t>Kimmich</w:t>
      </w:r>
      <w:proofErr w:type="spellEnd"/>
      <w:r w:rsidRPr="00A16DD3">
        <w:rPr>
          <w:lang w:val="cs-CZ"/>
        </w:rPr>
        <w:t>. „Díky cíleným inovacím dále posilujeme naši pozici v klíčových oblastech podnikání. Tato dynamika nám poskytuje prostor k dalšímu důslednému zvyšování konkurenceschopnosti. Optimalizace strukturálních nákladů přitom zůstává zásadním nástrojem pro posílení odolnosti a vytvoření pevných základů dlouhodobě ziskového růstu.“</w:t>
      </w:r>
    </w:p>
    <w:p w14:paraId="73BC6713" w14:textId="77777777" w:rsidR="00A16DD3" w:rsidRPr="00A16DD3" w:rsidRDefault="00A16DD3" w:rsidP="00A16DD3">
      <w:pPr>
        <w:rPr>
          <w:color w:val="002060"/>
          <w:lang w:val="cs-CZ"/>
        </w:rPr>
      </w:pPr>
      <w:r w:rsidRPr="00A16DD3">
        <w:rPr>
          <w:b/>
          <w:bCs/>
          <w:color w:val="002060"/>
          <w:lang w:val="cs-CZ"/>
        </w:rPr>
        <w:lastRenderedPageBreak/>
        <w:t xml:space="preserve">Vývoj podnikání v 1. pololetí/2. čtvrtletí 2026: Silný nárůst objednávek, výrazné zlepšení výsledků, růst tržeb a kladné cash </w:t>
      </w:r>
      <w:proofErr w:type="spellStart"/>
      <w:r w:rsidRPr="00A16DD3">
        <w:rPr>
          <w:b/>
          <w:bCs/>
          <w:color w:val="002060"/>
          <w:lang w:val="cs-CZ"/>
        </w:rPr>
        <w:t>flow</w:t>
      </w:r>
      <w:proofErr w:type="spellEnd"/>
    </w:p>
    <w:p w14:paraId="1DCB3E43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>Skupinové tržby v prvním pololetí meziročně vzrostly o +1,4 % na 558,2 mil. € (předchozí rok: 550,4 mil. €). Silný poměr objednávek k tržbám (</w:t>
      </w:r>
      <w:proofErr w:type="spellStart"/>
      <w:r w:rsidRPr="00A16DD3">
        <w:rPr>
          <w:lang w:val="cs-CZ"/>
        </w:rPr>
        <w:t>Book</w:t>
      </w:r>
      <w:proofErr w:type="spellEnd"/>
      <w:r w:rsidRPr="00A16DD3">
        <w:rPr>
          <w:lang w:val="cs-CZ"/>
        </w:rPr>
        <w:t>-to-Bill Ratio) ve výši 1,27 (předchozí rok: 1,10) potvrzuje vysokou dynamiku provozního růstu. Objem přijatých zakázek skupiny vzrostl o výrazných +16,9 % na 709,3 mil. € (předchozí rok: 606,9 mil. €), a to zejména díky obnovenému zrychlení poptávky ve druhém čtvrtletí, kdy dosáhl 411,7 mil. €. Objem nevyřízených zakázek zaznamenal 1 121,7 mil. € (předchozí rok: 1 096,3 mil. €), což představuje nové historické maximum v novodobé historii společnosti a zároveň spolehlivý základ pro další rozvoj podnikání.</w:t>
      </w:r>
    </w:p>
    <w:p w14:paraId="19205BA5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>Provozní EBITDA se v pololetním srovnání zvýšila o +20,5 % na 14,1 mil. € (předchozí rok: 11,7 mil. €), především díky silné výkonnosti ve druhém čtvrtletí, kdy skupina dosáhla provozního výsledku EBITDA ve výši 17,0 mil. €. EBITDA ve výši 7,4 mil. € (předchozí rok: 7,5 mil. €) zahrnuje plánované neprovozní mimořádné vlivy v objemu 6,7 mil. €, související s ukončením provozu společnosti Albert-</w:t>
      </w:r>
      <w:proofErr w:type="spellStart"/>
      <w:r w:rsidRPr="00A16DD3">
        <w:rPr>
          <w:lang w:val="cs-CZ"/>
        </w:rPr>
        <w:t>Frankenthal</w:t>
      </w:r>
      <w:proofErr w:type="spellEnd"/>
      <w:r w:rsidRPr="00A16DD3">
        <w:rPr>
          <w:lang w:val="cs-CZ"/>
        </w:rPr>
        <w:t xml:space="preserve"> </w:t>
      </w:r>
      <w:proofErr w:type="spellStart"/>
      <w:r w:rsidRPr="00A16DD3">
        <w:rPr>
          <w:lang w:val="cs-CZ"/>
        </w:rPr>
        <w:t>GmbH</w:t>
      </w:r>
      <w:proofErr w:type="spellEnd"/>
      <w:r w:rsidRPr="00A16DD3">
        <w:rPr>
          <w:lang w:val="cs-CZ"/>
        </w:rPr>
        <w:t>.</w:t>
      </w:r>
    </w:p>
    <w:p w14:paraId="0968917A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Klíčovou součástí řízení koncernu nadále zůstává generování cash </w:t>
      </w:r>
      <w:proofErr w:type="spellStart"/>
      <w:r w:rsidRPr="00A16DD3">
        <w:rPr>
          <w:lang w:val="cs-CZ"/>
        </w:rPr>
        <w:t>flow</w:t>
      </w:r>
      <w:proofErr w:type="spellEnd"/>
      <w:r w:rsidRPr="00A16DD3">
        <w:rPr>
          <w:lang w:val="cs-CZ"/>
        </w:rPr>
        <w:t xml:space="preserve">. Ve druhém čtvrtletí byl překonán významný milník v podobě kladného volného cash </w:t>
      </w:r>
      <w:proofErr w:type="spellStart"/>
      <w:r w:rsidRPr="00A16DD3">
        <w:rPr>
          <w:lang w:val="cs-CZ"/>
        </w:rPr>
        <w:t>flow</w:t>
      </w:r>
      <w:proofErr w:type="spellEnd"/>
      <w:r w:rsidRPr="00A16DD3">
        <w:rPr>
          <w:lang w:val="cs-CZ"/>
        </w:rPr>
        <w:t xml:space="preserve"> ve výši +16,8 mil. €, což vedlo ke zlepšení pololetní hodnoty oproti předchozímu roku o +62,7 mil. € na -21,0 mil. €. Díky aktivnímu řízení se podařilo udržet čistý pracovní kapitál (NWC) na úrovni 21,4 %, tedy bezpečně pod hranicí maximálně 25 % obratu koncernu.</w:t>
      </w:r>
    </w:p>
    <w:p w14:paraId="0BA1A235" w14:textId="77777777" w:rsidR="00A16DD3" w:rsidRPr="00A16DD3" w:rsidRDefault="00A16DD3" w:rsidP="00A16DD3">
      <w:pPr>
        <w:rPr>
          <w:color w:val="002060"/>
          <w:lang w:val="cs-CZ"/>
        </w:rPr>
      </w:pPr>
      <w:r w:rsidRPr="00A16DD3">
        <w:rPr>
          <w:b/>
          <w:bCs/>
          <w:color w:val="002060"/>
          <w:lang w:val="cs-CZ"/>
        </w:rPr>
        <w:t>Společný obrat v provozním vývoji obou segmentů</w:t>
      </w:r>
    </w:p>
    <w:p w14:paraId="52D87729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Provozní vývoj obou segmentů koncernu byl v prvním pololetí podpořen pozitivní dynamikou druhého čtvrtletí. V </w:t>
      </w:r>
      <w:r w:rsidRPr="00A16DD3">
        <w:rPr>
          <w:b/>
          <w:bCs/>
          <w:lang w:val="cs-CZ"/>
        </w:rPr>
        <w:t xml:space="preserve">segmentu </w:t>
      </w:r>
      <w:proofErr w:type="spellStart"/>
      <w:r w:rsidRPr="00A16DD3">
        <w:rPr>
          <w:b/>
          <w:bCs/>
          <w:lang w:val="cs-CZ"/>
        </w:rPr>
        <w:t>Paper</w:t>
      </w:r>
      <w:proofErr w:type="spellEnd"/>
      <w:r w:rsidRPr="00A16DD3">
        <w:rPr>
          <w:b/>
          <w:bCs/>
          <w:lang w:val="cs-CZ"/>
        </w:rPr>
        <w:t xml:space="preserve"> &amp; </w:t>
      </w:r>
      <w:proofErr w:type="spellStart"/>
      <w:r w:rsidRPr="00A16DD3">
        <w:rPr>
          <w:b/>
          <w:bCs/>
          <w:lang w:val="cs-CZ"/>
        </w:rPr>
        <w:t>Packaging</w:t>
      </w:r>
      <w:proofErr w:type="spellEnd"/>
      <w:r w:rsidRPr="00A16DD3">
        <w:rPr>
          <w:b/>
          <w:bCs/>
          <w:lang w:val="cs-CZ"/>
        </w:rPr>
        <w:t xml:space="preserve"> </w:t>
      </w:r>
      <w:proofErr w:type="spellStart"/>
      <w:r w:rsidRPr="00A16DD3">
        <w:rPr>
          <w:b/>
          <w:bCs/>
          <w:lang w:val="cs-CZ"/>
        </w:rPr>
        <w:t>Sheetfed</w:t>
      </w:r>
      <w:proofErr w:type="spellEnd"/>
      <w:r w:rsidRPr="00A16DD3">
        <w:rPr>
          <w:b/>
          <w:bCs/>
          <w:lang w:val="cs-CZ"/>
        </w:rPr>
        <w:t xml:space="preserve"> Systems (P&amp;P)</w:t>
      </w:r>
      <w:r w:rsidRPr="00A16DD3">
        <w:rPr>
          <w:lang w:val="cs-CZ"/>
        </w:rPr>
        <w:t xml:space="preserve"> zaznamenala společnost Koenig &amp; Bauer silný příliv objednávek ve výši 398,5 mil. € (předchozí rok: 350,4 mil. €; +13,7 %), z čehož 204,2 mil. € připadlo na druhé čtvrtletí. Tržby dosáhly 299,3 mil. € a v důsledku nižší úrovně objednávek z roku 2025 se pohybovaly mírně pod úrovní předchozího roku (308,9 mil. €; -3,1 %). Ve druhém čtvrtletí však již vykázaly výrazné oživení a vystoupaly na 165,9 mil. €. Provozní EBITDA tento trend odrážela: po opatrném začátku roku a výsledku -8,4 mil. € v prvním čtvrtletí přinesl segment ve druhém čtvrtletí opět silné provozní EBITDA ve výši +6,8 mil. € (1. pololetí: -1,6 mil. €). Za účelem zajištění ziskovosti v segmentu P&amp;P byla k 1. červenci 2026 provedena cenová úprava o +3 %, která kompenzuje dopady přesahující rámec cílených opatření ke snižování nákladů v reakci na geopolitický tlak na náklady.</w:t>
      </w:r>
    </w:p>
    <w:p w14:paraId="55604AAB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V </w:t>
      </w:r>
      <w:r w:rsidRPr="00A16DD3">
        <w:rPr>
          <w:b/>
          <w:bCs/>
          <w:lang w:val="cs-CZ"/>
        </w:rPr>
        <w:t xml:space="preserve">segmentu </w:t>
      </w:r>
      <w:proofErr w:type="spellStart"/>
      <w:r w:rsidRPr="00A16DD3">
        <w:rPr>
          <w:b/>
          <w:bCs/>
          <w:lang w:val="cs-CZ"/>
        </w:rPr>
        <w:t>Special</w:t>
      </w:r>
      <w:proofErr w:type="spellEnd"/>
      <w:r w:rsidRPr="00A16DD3">
        <w:rPr>
          <w:b/>
          <w:bCs/>
          <w:lang w:val="cs-CZ"/>
        </w:rPr>
        <w:t xml:space="preserve"> &amp; New Technologies (S&amp;T)</w:t>
      </w:r>
      <w:r w:rsidRPr="00A16DD3">
        <w:rPr>
          <w:lang w:val="cs-CZ"/>
        </w:rPr>
        <w:t xml:space="preserve"> se podařilo docílit výrazného obratu ve vývoji hospodaření. Provozní EBITDA v prvním pololetí činila 11,8 mil. € (předchozí rok: -4,0 mil. €), a to díky silné sekvenční dynamice ziskovosti ve druhém čtvrtletí, kdy dosáhla 7,7 mil. € oproti 4,1 mil. € v prvním čtvrtletí. Tržby vzrostly o +5,2 % na 269,9 mil. € (předchozí rok: 256,6 mil. €), zejména díky pokroku v realizaci velkých projektů, především v Severní Americe. Objem přijatých zakázek se navýšil o výrazných +22,1 % na 329,0 mil. € (předchozí rok: 269,4 mil. €). K tomuto výsledku významně přispěla silná projektová aktivita divize </w:t>
      </w:r>
      <w:proofErr w:type="spellStart"/>
      <w:r w:rsidRPr="00A16DD3">
        <w:rPr>
          <w:lang w:val="cs-CZ"/>
        </w:rPr>
        <w:t>Banknote</w:t>
      </w:r>
      <w:proofErr w:type="spellEnd"/>
      <w:r w:rsidRPr="00A16DD3">
        <w:rPr>
          <w:lang w:val="cs-CZ"/>
        </w:rPr>
        <w:t xml:space="preserve"> </w:t>
      </w:r>
      <w:proofErr w:type="spellStart"/>
      <w:r w:rsidRPr="00A16DD3">
        <w:rPr>
          <w:lang w:val="cs-CZ"/>
        </w:rPr>
        <w:t>Solutions</w:t>
      </w:r>
      <w:proofErr w:type="spellEnd"/>
      <w:r w:rsidRPr="00A16DD3">
        <w:rPr>
          <w:lang w:val="cs-CZ"/>
        </w:rPr>
        <w:t xml:space="preserve"> v Africe a Latinské Americe, která vedla k výraznému nárůstu objednávek ve druhém čtvrtletí na 214,3 mil. €.</w:t>
      </w:r>
    </w:p>
    <w:p w14:paraId="6A1D55BD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„Ti, kteří předpovídali konec hotovosti, jsou dnes konfrontováni s realitou,“ komentuje Dr. </w:t>
      </w:r>
      <w:proofErr w:type="spellStart"/>
      <w:r w:rsidRPr="00A16DD3">
        <w:rPr>
          <w:lang w:val="cs-CZ"/>
        </w:rPr>
        <w:t>Kimmich</w:t>
      </w:r>
      <w:proofErr w:type="spellEnd"/>
      <w:r w:rsidRPr="00A16DD3">
        <w:rPr>
          <w:lang w:val="cs-CZ"/>
        </w:rPr>
        <w:t xml:space="preserve"> a dodává: „Hotovost je a zůstává nepostradatelným uchovatelem hodnoty a nejspolehlivější záchrannou sítí v době krizí nebo kybernetických útoků. Skutečnost, že i průkopníci digitalizace, jako je Švédsko, </w:t>
      </w:r>
      <w:r w:rsidRPr="00A16DD3">
        <w:rPr>
          <w:lang w:val="cs-CZ"/>
        </w:rPr>
        <w:lastRenderedPageBreak/>
        <w:t>znovu zavádějí povinnost přijímat hotovost v obchodech, hovoří sama za sebe. Pro nás je to jasný důkaz, že naše vysoce specializované technologie jsou dnes relevantnější než kdy dříve.“</w:t>
      </w:r>
    </w:p>
    <w:p w14:paraId="026F28C7" w14:textId="77777777" w:rsidR="00A16DD3" w:rsidRPr="00A16DD3" w:rsidRDefault="00A16DD3" w:rsidP="00A16DD3">
      <w:pPr>
        <w:rPr>
          <w:color w:val="002060"/>
          <w:lang w:val="cs-CZ"/>
        </w:rPr>
      </w:pPr>
      <w:r w:rsidRPr="00A16DD3">
        <w:rPr>
          <w:b/>
          <w:bCs/>
          <w:color w:val="002060"/>
          <w:lang w:val="cs-CZ"/>
        </w:rPr>
        <w:t>Výhled na rok 2026: Stabilní vývoj podnikání a potvrzení prognózy</w:t>
      </w:r>
    </w:p>
    <w:p w14:paraId="7D7C0A18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>Pro obchodní rok 2026 očekává společnost Koenig &amp; Bauer pokračující provozní stabilitu. Za předpokladu zachování stávajících rámcových podmínek potvrzuje prognózu konsolidovaného obratu na úrovni předchozího roku, tedy přibližně 1,3 mld. €, a provozní EBITDA ve výši zhruba 80 mil. €. Prognóza vychází z předpokladu, že nedojde k dlouhodobé vojenské konfrontaci na Blízkém východě, přetrvávajícímu přerušení mezinárodních obchodních tras, trvalé krizi cen energií ani k výraznému zhoršení globálního investičního klimatu.</w:t>
      </w:r>
    </w:p>
    <w:p w14:paraId="1A9C3695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„Vývoj cash </w:t>
      </w:r>
      <w:proofErr w:type="spellStart"/>
      <w:r w:rsidRPr="00A16DD3">
        <w:rPr>
          <w:lang w:val="cs-CZ"/>
        </w:rPr>
        <w:t>flow</w:t>
      </w:r>
      <w:proofErr w:type="spellEnd"/>
      <w:r w:rsidRPr="00A16DD3">
        <w:rPr>
          <w:lang w:val="cs-CZ"/>
        </w:rPr>
        <w:t xml:space="preserve"> v průběhu roku potvrzuje, že naše opatření zaměřená na optimalizaci čistého pracovního kapitálu přinášejí výsledky,“ zdůrazňuje Dr. Alexander Blum a dodává: „Kladné volné cash </w:t>
      </w:r>
      <w:proofErr w:type="spellStart"/>
      <w:r w:rsidRPr="00A16DD3">
        <w:rPr>
          <w:lang w:val="cs-CZ"/>
        </w:rPr>
        <w:t>flow</w:t>
      </w:r>
      <w:proofErr w:type="spellEnd"/>
      <w:r w:rsidRPr="00A16DD3">
        <w:rPr>
          <w:lang w:val="cs-CZ"/>
        </w:rPr>
        <w:t xml:space="preserve"> ve výši téměř 17 milionů € dosažené ve druhém čtvrtletí představuje důležitý milník. Společně s historicky silným portfoliem objednávek máme k dispozici pevný základ, který nám umožní lépe odolávat vnějším tržním tlakům.“</w:t>
      </w:r>
    </w:p>
    <w:p w14:paraId="75E69FE8" w14:textId="03B37AE7" w:rsidR="00A16DD3" w:rsidRPr="00A16DD3" w:rsidRDefault="0087310B" w:rsidP="00A16DD3">
      <w:pPr>
        <w:rPr>
          <w:u w:val="single"/>
          <w:lang w:val="cs-CZ"/>
        </w:rPr>
      </w:pPr>
      <w:hyperlink r:id="rId7" w:history="1">
        <w:r w:rsidR="00A16DD3" w:rsidRPr="0087310B">
          <w:rPr>
            <w:rStyle w:val="Hypertextovodkaz"/>
            <w:lang w:val="cs-CZ"/>
          </w:rPr>
          <w:t>Čísla v k</w:t>
        </w:r>
        <w:r w:rsidR="00A16DD3" w:rsidRPr="0087310B">
          <w:rPr>
            <w:rStyle w:val="Hypertextovodkaz"/>
            <w:lang w:val="cs-CZ"/>
          </w:rPr>
          <w:t>o</w:t>
        </w:r>
        <w:r w:rsidR="00A16DD3" w:rsidRPr="0087310B">
          <w:rPr>
            <w:rStyle w:val="Hypertextovodkaz"/>
            <w:lang w:val="cs-CZ"/>
          </w:rPr>
          <w:t>stce</w:t>
        </w:r>
      </w:hyperlink>
    </w:p>
    <w:p w14:paraId="2B9186D0" w14:textId="0371C93E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Kompletní mezitímní zpráva za první pololetí roku 2026 je k dispozici ke stažení </w:t>
      </w:r>
      <w:hyperlink r:id="rId8" w:history="1">
        <w:r w:rsidRPr="0087310B">
          <w:rPr>
            <w:rStyle w:val="Hypertextovodkaz"/>
            <w:lang w:val="cs-CZ"/>
          </w:rPr>
          <w:t>ve formátu PDF</w:t>
        </w:r>
      </w:hyperlink>
      <w:r w:rsidRPr="00A16DD3">
        <w:rPr>
          <w:lang w:val="cs-CZ"/>
        </w:rPr>
        <w:t xml:space="preserve"> na webových stránkách společnosti Koenig &amp; Bauer AG.</w:t>
      </w:r>
    </w:p>
    <w:p w14:paraId="51D897B9" w14:textId="77777777" w:rsidR="00A16DD3" w:rsidRPr="00A16DD3" w:rsidRDefault="00A16DD3" w:rsidP="00A16DD3">
      <w:pPr>
        <w:rPr>
          <w:lang w:val="cs-CZ"/>
        </w:rPr>
      </w:pPr>
    </w:p>
    <w:p w14:paraId="08ED9309" w14:textId="77777777" w:rsidR="00A16DD3" w:rsidRPr="00A16DD3" w:rsidRDefault="00A16DD3" w:rsidP="00A16DD3">
      <w:pPr>
        <w:rPr>
          <w:lang w:val="cs-CZ"/>
        </w:rPr>
      </w:pPr>
      <w:r w:rsidRPr="00A16DD3">
        <w:rPr>
          <w:b/>
          <w:bCs/>
          <w:lang w:val="cs-CZ"/>
        </w:rPr>
        <w:t>Foto:</w:t>
      </w:r>
      <w:r w:rsidRPr="00A16DD3">
        <w:rPr>
          <w:lang w:val="cs-CZ"/>
        </w:rPr>
        <w:br/>
      </w:r>
      <w:r w:rsidRPr="00A16DD3">
        <w:rPr>
          <w:b/>
          <w:bCs/>
          <w:lang w:val="cs-CZ"/>
        </w:rPr>
        <w:t>Zaměření na důslednou realizaci:</w:t>
      </w:r>
      <w:r w:rsidRPr="00A16DD3">
        <w:rPr>
          <w:lang w:val="cs-CZ"/>
        </w:rPr>
        <w:t xml:space="preserve"> Strategický plán „IMPACT“ aktivně podporuje transformaci společnosti Koenig &amp; Bauer. Akronym, podle něhož byla strategie pojmenována, propojuje šest klíčových oblastí do uceleného rámce: </w:t>
      </w:r>
      <w:proofErr w:type="spellStart"/>
      <w:r w:rsidRPr="00A16DD3">
        <w:rPr>
          <w:lang w:val="cs-CZ"/>
        </w:rPr>
        <w:t>Intelligence</w:t>
      </w:r>
      <w:proofErr w:type="spellEnd"/>
      <w:r w:rsidRPr="00A16DD3">
        <w:rPr>
          <w:lang w:val="cs-CZ"/>
        </w:rPr>
        <w:t xml:space="preserve">, Go-To-Market, </w:t>
      </w:r>
      <w:proofErr w:type="spellStart"/>
      <w:r w:rsidRPr="00A16DD3">
        <w:rPr>
          <w:lang w:val="cs-CZ"/>
        </w:rPr>
        <w:t>People</w:t>
      </w:r>
      <w:proofErr w:type="spellEnd"/>
      <w:r w:rsidRPr="00A16DD3">
        <w:rPr>
          <w:lang w:val="cs-CZ"/>
        </w:rPr>
        <w:t xml:space="preserve">, Adaptability, </w:t>
      </w:r>
      <w:proofErr w:type="spellStart"/>
      <w:r w:rsidRPr="00A16DD3">
        <w:rPr>
          <w:lang w:val="cs-CZ"/>
        </w:rPr>
        <w:t>Competitiveness</w:t>
      </w:r>
      <w:proofErr w:type="spellEnd"/>
      <w:r w:rsidRPr="00A16DD3">
        <w:rPr>
          <w:lang w:val="cs-CZ"/>
        </w:rPr>
        <w:t xml:space="preserve"> a Technology. Jeho cílem je dlouhodobě posilovat provozní odolnost a konkurenceschopnost skupiny v proměnlivém tržním prostředí. © Koenig &amp; Bauer</w:t>
      </w:r>
    </w:p>
    <w:p w14:paraId="2D353E6F" w14:textId="77777777" w:rsidR="00A16DD3" w:rsidRPr="00A16DD3" w:rsidRDefault="00A16DD3" w:rsidP="00A16DD3">
      <w:pPr>
        <w:rPr>
          <w:lang w:val="cs-CZ"/>
        </w:rPr>
      </w:pPr>
    </w:p>
    <w:p w14:paraId="1FFE126B" w14:textId="77777777" w:rsidR="00A16DD3" w:rsidRPr="00A16DD3" w:rsidRDefault="00A16DD3" w:rsidP="00A16DD3">
      <w:pPr>
        <w:pStyle w:val="Nadpis4"/>
        <w:rPr>
          <w:b w:val="0"/>
          <w:bCs w:val="0"/>
          <w:i/>
          <w:iCs/>
          <w:lang w:val="cs-CZ"/>
        </w:rPr>
      </w:pPr>
      <w:r w:rsidRPr="00A16DD3">
        <w:rPr>
          <w:lang w:val="cs-CZ"/>
        </w:rPr>
        <w:t>Kontaktní osoba pro vztahy s investory</w:t>
      </w:r>
    </w:p>
    <w:p w14:paraId="7115575B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>Koenig &amp; Bauer AG</w:t>
      </w:r>
      <w:r w:rsidRPr="00A16DD3">
        <w:rPr>
          <w:lang w:val="cs-CZ"/>
        </w:rPr>
        <w:br/>
        <w:t xml:space="preserve">Lena </w:t>
      </w:r>
      <w:proofErr w:type="spellStart"/>
      <w:r w:rsidRPr="00A16DD3">
        <w:rPr>
          <w:lang w:val="cs-CZ"/>
        </w:rPr>
        <w:t>Landenberger</w:t>
      </w:r>
      <w:proofErr w:type="spellEnd"/>
      <w:r w:rsidRPr="00A16DD3">
        <w:rPr>
          <w:lang w:val="cs-CZ"/>
        </w:rPr>
        <w:br/>
        <w:t>+49 931 909 4085</w:t>
      </w:r>
      <w:r w:rsidRPr="00A16DD3">
        <w:rPr>
          <w:lang w:val="cs-CZ"/>
        </w:rPr>
        <w:br/>
      </w:r>
      <w:hyperlink r:id="rId9">
        <w:r w:rsidRPr="00A16DD3">
          <w:rPr>
            <w:color w:val="1155CC"/>
            <w:u w:val="single"/>
            <w:lang w:val="cs-CZ"/>
          </w:rPr>
          <w:t>lena.landenberger@koenig-bauer.com</w:t>
        </w:r>
      </w:hyperlink>
    </w:p>
    <w:p w14:paraId="5AC52FA6" w14:textId="77777777" w:rsidR="00A16DD3" w:rsidRPr="00A16DD3" w:rsidRDefault="00A16DD3" w:rsidP="00A16DD3">
      <w:pPr>
        <w:pStyle w:val="Nadpis4"/>
        <w:rPr>
          <w:b w:val="0"/>
          <w:bCs w:val="0"/>
          <w:i/>
          <w:iCs/>
          <w:lang w:val="cs-CZ"/>
        </w:rPr>
      </w:pPr>
      <w:bookmarkStart w:id="3" w:name="_7l1xfsqz2jq9" w:colFirst="0" w:colLast="0"/>
      <w:bookmarkEnd w:id="3"/>
      <w:r w:rsidRPr="00A16DD3">
        <w:rPr>
          <w:lang w:val="cs-CZ"/>
        </w:rPr>
        <w:t>Kontaktní osoba pro tisk</w:t>
      </w:r>
    </w:p>
    <w:p w14:paraId="35F39890" w14:textId="6EA90289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>Koenig &amp; Bauer AG</w:t>
      </w:r>
      <w:r w:rsidRPr="00A16DD3">
        <w:rPr>
          <w:lang w:val="cs-CZ"/>
        </w:rPr>
        <w:br/>
        <w:t xml:space="preserve">Dr. André Jäger </w:t>
      </w:r>
      <w:r w:rsidRPr="00A16DD3">
        <w:rPr>
          <w:lang w:val="cs-CZ"/>
        </w:rPr>
        <w:br/>
        <w:t>+49 931 909 4085</w:t>
      </w:r>
      <w:r w:rsidRPr="00A16DD3">
        <w:rPr>
          <w:lang w:val="cs-CZ"/>
        </w:rPr>
        <w:br/>
      </w:r>
      <w:hyperlink r:id="rId10">
        <w:r w:rsidRPr="00A16DD3">
          <w:rPr>
            <w:color w:val="1155CC"/>
            <w:u w:val="single"/>
            <w:lang w:val="cs-CZ"/>
          </w:rPr>
          <w:t>andre.jaeger@koenig-bauer.com</w:t>
        </w:r>
      </w:hyperlink>
    </w:p>
    <w:p w14:paraId="15D65362" w14:textId="77777777" w:rsidR="00A16DD3" w:rsidRPr="00A16DD3" w:rsidRDefault="00A16DD3" w:rsidP="00A16DD3">
      <w:pPr>
        <w:rPr>
          <w:lang w:val="cs-CZ"/>
        </w:rPr>
      </w:pPr>
    </w:p>
    <w:p w14:paraId="5D308E2C" w14:textId="77777777" w:rsidR="00A16DD3" w:rsidRPr="00A16DD3" w:rsidRDefault="00A16DD3" w:rsidP="00A16DD3">
      <w:pPr>
        <w:pStyle w:val="Nadpis4"/>
        <w:rPr>
          <w:i/>
          <w:iCs/>
          <w:lang w:val="cs-CZ"/>
        </w:rPr>
      </w:pPr>
      <w:r w:rsidRPr="00A16DD3">
        <w:rPr>
          <w:lang w:val="cs-CZ"/>
        </w:rPr>
        <w:lastRenderedPageBreak/>
        <w:t>O společnosti Koenig &amp; Bauer</w:t>
      </w:r>
    </w:p>
    <w:p w14:paraId="2ACB213A" w14:textId="77777777" w:rsidR="00A16DD3" w:rsidRPr="00A16DD3" w:rsidRDefault="00A16DD3" w:rsidP="00A16DD3">
      <w:pPr>
        <w:rPr>
          <w:lang w:val="cs-CZ"/>
        </w:rPr>
      </w:pPr>
      <w:r w:rsidRPr="00A16DD3">
        <w:rPr>
          <w:lang w:val="cs-CZ"/>
        </w:rPr>
        <w:t xml:space="preserve">Koenig &amp; Bauer, se sídlem ve </w:t>
      </w:r>
      <w:proofErr w:type="spellStart"/>
      <w:r w:rsidRPr="00A16DD3">
        <w:rPr>
          <w:lang w:val="cs-CZ"/>
        </w:rPr>
        <w:t>Würzburgu</w:t>
      </w:r>
      <w:proofErr w:type="spellEnd"/>
      <w:r w:rsidRPr="00A16DD3">
        <w:rPr>
          <w:lang w:val="cs-CZ"/>
        </w:rPr>
        <w:t xml:space="preserve"> (Německo), je globální výrobce tiskových strojů a softwarových řešení pro celý proces tisku a zpracování, se zvláštním zaměřením na obalový sektor. Zařízení společnosti dokážou potisknout téměř všechny typy substrátů – portfolio zahrnuje bankovky, kartonové, vlnité, fóliové, plechové a skleněné obaly, stejně jako tisk knih, displejů, označení, dekorů, časopisů, reklamy a novin. S více než 200letou historií je Koenig &amp; Bauer nejstarším výrobcem tiskových strojů na světě a dnes ovládá téměř všechny tiskové technologie. Koncern zaměstnává přibližně 5 500 pracovníků, vyrábí v jedenácti závodech v Evropě a disponuje celosvětovou sítí prodeje a servisu. Obrat skupiny v obchodním roce 2025 činil přibližně 1,3 miliardy </w:t>
      </w:r>
      <w:r w:rsidRPr="00A16DD3">
        <w:rPr>
          <w:color w:val="0A0F0A"/>
          <w:highlight w:val="white"/>
          <w:lang w:val="cs-CZ"/>
        </w:rPr>
        <w:t>€</w:t>
      </w:r>
      <w:r w:rsidRPr="00A16DD3">
        <w:rPr>
          <w:lang w:val="cs-CZ"/>
        </w:rPr>
        <w:t>.</w:t>
      </w:r>
    </w:p>
    <w:p w14:paraId="7A2467AB" w14:textId="4DC66F7B" w:rsidR="008B2CD0" w:rsidRPr="00A16DD3" w:rsidRDefault="00A16DD3" w:rsidP="00A16DD3">
      <w:pPr>
        <w:rPr>
          <w:lang w:val="cs-CZ"/>
        </w:rPr>
      </w:pPr>
      <w:r w:rsidRPr="00A16DD3">
        <w:rPr>
          <w:lang w:val="cs-CZ"/>
        </w:rPr>
        <w:t>Další informace najdete na</w:t>
      </w:r>
      <w:hyperlink r:id="rId11">
        <w:r w:rsidRPr="00A16DD3">
          <w:rPr>
            <w:color w:val="1155CC"/>
            <w:u w:val="single"/>
            <w:lang w:val="cs-CZ"/>
          </w:rPr>
          <w:t xml:space="preserve"> www.koenig-bauer.com</w:t>
        </w:r>
      </w:hyperlink>
    </w:p>
    <w:sectPr w:rsidR="008B2CD0" w:rsidRPr="00A16D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1" w:right="1418" w:bottom="1361" w:left="1418" w:header="1020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AC19" w14:textId="77777777" w:rsidR="003D73E9" w:rsidRDefault="003D73E9">
      <w:pPr>
        <w:spacing w:after="0" w:line="240" w:lineRule="auto"/>
      </w:pPr>
      <w:r>
        <w:separator/>
      </w:r>
    </w:p>
  </w:endnote>
  <w:endnote w:type="continuationSeparator" w:id="0">
    <w:p w14:paraId="71923F72" w14:textId="77777777" w:rsidR="003D73E9" w:rsidRDefault="003D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A8332A4-966B-46D3-BEAC-8A7AEC8DDA1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C090BF6-15AE-453A-B786-38D0084C37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3EDA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9E53" w14:textId="77777777" w:rsidR="008B2CD0" w:rsidRDefault="008B2CD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0"/>
      <w:tblW w:w="9060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BFBFBF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420"/>
      <w:gridCol w:w="8640"/>
    </w:tblGrid>
    <w:tr w:rsidR="008B2CD0" w14:paraId="49A5176D" w14:textId="77777777">
      <w:tc>
        <w:tcPr>
          <w:tcW w:w="420" w:type="dxa"/>
        </w:tcPr>
        <w:p w14:paraId="44D5ABCC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8640" w:type="dxa"/>
        </w:tcPr>
        <w:p w14:paraId="542C7C30" w14:textId="41D11FF1" w:rsidR="008B2CD0" w:rsidRDefault="00A16DD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jc w:val="right"/>
            <w:rPr>
              <w:color w:val="000000"/>
              <w:sz w:val="14"/>
              <w:szCs w:val="14"/>
            </w:rPr>
          </w:pPr>
          <w:r w:rsidRPr="00A16DD3">
            <w:rPr>
              <w:sz w:val="14"/>
              <w:szCs w:val="14"/>
              <w:lang w:val="cs-CZ"/>
            </w:rPr>
            <w:t>Společnost Koenig &amp; Bauer zaznamenala silné druhé čtvrtletí</w:t>
          </w:r>
          <w:r w:rsidR="006269DD">
            <w:rPr>
              <w:color w:val="000000"/>
              <w:sz w:val="14"/>
              <w:szCs w:val="14"/>
            </w:rPr>
            <w:t xml:space="preserve"> | </w:t>
          </w:r>
          <w:r w:rsidR="006269DD">
            <w:rPr>
              <w:color w:val="000000"/>
              <w:sz w:val="14"/>
              <w:szCs w:val="14"/>
            </w:rPr>
            <w:fldChar w:fldCharType="begin"/>
          </w:r>
          <w:r w:rsidR="006269DD">
            <w:rPr>
              <w:color w:val="000000"/>
              <w:sz w:val="14"/>
              <w:szCs w:val="14"/>
            </w:rPr>
            <w:instrText>PAGE</w:instrText>
          </w:r>
          <w:r w:rsidR="006269DD">
            <w:rPr>
              <w:color w:val="000000"/>
              <w:sz w:val="14"/>
              <w:szCs w:val="14"/>
            </w:rPr>
            <w:fldChar w:fldCharType="separate"/>
          </w:r>
          <w:r w:rsidR="00E86579">
            <w:rPr>
              <w:noProof/>
              <w:color w:val="000000"/>
              <w:sz w:val="14"/>
              <w:szCs w:val="14"/>
            </w:rPr>
            <w:t>1</w:t>
          </w:r>
          <w:r w:rsidR="006269DD">
            <w:rPr>
              <w:color w:val="000000"/>
              <w:sz w:val="14"/>
              <w:szCs w:val="14"/>
            </w:rPr>
            <w:fldChar w:fldCharType="end"/>
          </w:r>
        </w:p>
      </w:tc>
    </w:tr>
  </w:tbl>
  <w:p w14:paraId="5D809034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2B8D" w14:textId="77777777" w:rsidR="008B2CD0" w:rsidRDefault="008B2CD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"/>
      <w:tblW w:w="9781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nil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2552"/>
      <w:gridCol w:w="4536"/>
      <w:gridCol w:w="2693"/>
    </w:tblGrid>
    <w:tr w:rsidR="008B2CD0" w14:paraId="3591735F" w14:textId="77777777">
      <w:trPr>
        <w:trHeight w:val="620"/>
      </w:trPr>
      <w:tc>
        <w:tcPr>
          <w:tcW w:w="2552" w:type="dxa"/>
        </w:tcPr>
        <w:p w14:paraId="21E87E7D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4536" w:type="dxa"/>
        </w:tcPr>
        <w:p w14:paraId="6F495913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2693" w:type="dxa"/>
        </w:tcPr>
        <w:p w14:paraId="6BEB1BAC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</w:tr>
  </w:tbl>
  <w:p w14:paraId="2803CDEB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sz w:val="14"/>
        <w:szCs w:val="14"/>
      </w:rPr>
    </w:pPr>
  </w:p>
  <w:p w14:paraId="34FF7202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30A1F" w14:textId="77777777" w:rsidR="003D73E9" w:rsidRDefault="003D73E9">
      <w:pPr>
        <w:spacing w:after="0" w:line="240" w:lineRule="auto"/>
      </w:pPr>
      <w:r>
        <w:separator/>
      </w:r>
    </w:p>
  </w:footnote>
  <w:footnote w:type="continuationSeparator" w:id="0">
    <w:p w14:paraId="304D08F5" w14:textId="77777777" w:rsidR="003D73E9" w:rsidRDefault="003D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3BC7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0F32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4C5DED29" wp14:editId="4A602299">
          <wp:extent cx="2523600" cy="216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3600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864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651C2637" wp14:editId="03F2F5A2">
          <wp:extent cx="2524721" cy="216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4721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476"/>
    <w:multiLevelType w:val="hybridMultilevel"/>
    <w:tmpl w:val="F8DA7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7E3F"/>
    <w:multiLevelType w:val="hybridMultilevel"/>
    <w:tmpl w:val="235E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86DA8"/>
    <w:multiLevelType w:val="multilevel"/>
    <w:tmpl w:val="2F702CD6"/>
    <w:lvl w:ilvl="0">
      <w:start w:val="1"/>
      <w:numFmt w:val="bullet"/>
      <w:lvlText w:val="•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72127AB4"/>
    <w:multiLevelType w:val="hybridMultilevel"/>
    <w:tmpl w:val="17E4C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050140">
    <w:abstractNumId w:val="2"/>
  </w:num>
  <w:num w:numId="2" w16cid:durableId="771584040">
    <w:abstractNumId w:val="0"/>
  </w:num>
  <w:num w:numId="3" w16cid:durableId="332534857">
    <w:abstractNumId w:val="3"/>
  </w:num>
  <w:num w:numId="4" w16cid:durableId="109617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CD0"/>
    <w:rsid w:val="00260F24"/>
    <w:rsid w:val="003D73E9"/>
    <w:rsid w:val="006269DD"/>
    <w:rsid w:val="0087310B"/>
    <w:rsid w:val="008B2CD0"/>
    <w:rsid w:val="00A16DD3"/>
    <w:rsid w:val="00AD34F8"/>
    <w:rsid w:val="00D737B9"/>
    <w:rsid w:val="00DA3880"/>
    <w:rsid w:val="00E86579"/>
    <w:rsid w:val="00FA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E4FB0"/>
  <w15:docId w15:val="{35CB7886-77C6-4D4C-B108-2055BFB9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cs-CZ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40" w:lineRule="auto"/>
      <w:outlineLvl w:val="0"/>
    </w:pPr>
    <w:rPr>
      <w:b/>
      <w:bCs/>
      <w:color w:val="002355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after="0"/>
      <w:outlineLvl w:val="1"/>
    </w:pPr>
    <w:rPr>
      <w:b/>
      <w:bCs/>
      <w:color w:val="002355"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after="0"/>
      <w:outlineLvl w:val="2"/>
    </w:pPr>
    <w:rPr>
      <w:b/>
      <w:bCs/>
      <w:color w:val="002355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after="0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after="0"/>
      <w:outlineLvl w:val="4"/>
    </w:pPr>
    <w:rPr>
      <w:b/>
      <w:bCs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0"/>
      <w:outlineLvl w:val="5"/>
    </w:pPr>
    <w:rPr>
      <w:b/>
      <w:bCs/>
      <w:color w:val="00112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tabs>
        <w:tab w:val="left" w:pos="850"/>
      </w:tabs>
      <w:spacing w:before="840" w:after="600" w:line="240" w:lineRule="auto"/>
    </w:pPr>
    <w:rPr>
      <w:b/>
      <w:bCs/>
      <w:color w:val="002355"/>
      <w:sz w:val="60"/>
      <w:szCs w:val="60"/>
    </w:rPr>
  </w:style>
  <w:style w:type="paragraph" w:styleId="Podnadpis">
    <w:name w:val="Subtitle"/>
    <w:basedOn w:val="Normln"/>
    <w:next w:val="Normln"/>
    <w:uiPriority w:val="11"/>
    <w:qFormat/>
    <w:pPr>
      <w:spacing w:line="240" w:lineRule="auto"/>
    </w:pPr>
    <w:rPr>
      <w:color w:val="002355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8657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37B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310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731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ors.koenig-bauer.com/fileadmin/user_upload/04_Unternehmen/Investor_Relations/Berichte/Berichte_2026_h1/26-08-06-ir-interim-report-h1-2026-en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vestors.koenig-bauer.com/fileadmin/user_upload/04_Unternehmen/Investor_Relations/Berichte/Berichte_2026_h1/26-08-06-ir-group-key-figures-h1-2026-en.pd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enig-bauer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ndre.jaeger@koenig-bauer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ena.landenberger@koenig-bauer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1381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Vaníček</dc:creator>
  <cp:lastModifiedBy>Stanislav Vaníček</cp:lastModifiedBy>
  <cp:revision>3</cp:revision>
  <dcterms:created xsi:type="dcterms:W3CDTF">2026-08-18T20:29:00Z</dcterms:created>
  <dcterms:modified xsi:type="dcterms:W3CDTF">2026-08-18T20:39:00Z</dcterms:modified>
</cp:coreProperties>
</file>