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438B9" w14:textId="77777777" w:rsidR="009D33CC" w:rsidRDefault="00A5762F">
      <w:pPr>
        <w:pStyle w:val="Nzev"/>
        <w:keepNext w:val="0"/>
        <w:keepLines w:val="0"/>
        <w:tabs>
          <w:tab w:val="left" w:pos="850"/>
        </w:tabs>
        <w:spacing w:before="840" w:after="600" w:line="240" w:lineRule="auto"/>
        <w:rPr>
          <w:b/>
          <w:bCs/>
          <w:color w:val="002355"/>
          <w:sz w:val="60"/>
          <w:szCs w:val="60"/>
        </w:rPr>
      </w:pPr>
      <w:bookmarkStart w:id="0" w:name="_gjdgxs" w:colFirst="0" w:colLast="0"/>
      <w:bookmarkEnd w:id="0"/>
      <w:proofErr w:type="spellStart"/>
      <w:r>
        <w:rPr>
          <w:b/>
          <w:bCs/>
          <w:color w:val="002355"/>
          <w:sz w:val="60"/>
          <w:szCs w:val="60"/>
        </w:rPr>
        <w:t>Tisková</w:t>
      </w:r>
      <w:proofErr w:type="spellEnd"/>
      <w:r>
        <w:rPr>
          <w:b/>
          <w:bCs/>
          <w:color w:val="002355"/>
          <w:sz w:val="60"/>
          <w:szCs w:val="60"/>
        </w:rPr>
        <w:t xml:space="preserve"> </w:t>
      </w:r>
      <w:proofErr w:type="spellStart"/>
      <w:r>
        <w:rPr>
          <w:b/>
          <w:bCs/>
          <w:color w:val="002355"/>
          <w:sz w:val="60"/>
          <w:szCs w:val="60"/>
        </w:rPr>
        <w:t>zpráva</w:t>
      </w:r>
      <w:proofErr w:type="spellEnd"/>
      <w:r>
        <w:rPr>
          <w:b/>
          <w:bCs/>
          <w:color w:val="002355"/>
          <w:sz w:val="60"/>
          <w:szCs w:val="60"/>
        </w:rPr>
        <w:t xml:space="preserve"> </w:t>
      </w:r>
    </w:p>
    <w:p w14:paraId="5B30F430" w14:textId="5071ECF3" w:rsidR="009D33CC" w:rsidRDefault="00A5762F">
      <w:pPr>
        <w:pStyle w:val="Nadpis1"/>
        <w:spacing w:before="240"/>
      </w:pPr>
      <w:bookmarkStart w:id="1" w:name="_8dc17rpedp3q" w:colFirst="0" w:colLast="0"/>
      <w:bookmarkEnd w:id="1"/>
      <w:proofErr w:type="spellStart"/>
      <w:r>
        <w:t>Přesné</w:t>
      </w:r>
      <w:proofErr w:type="spellEnd"/>
      <w:r>
        <w:t xml:space="preserve"> </w:t>
      </w:r>
      <w:proofErr w:type="spellStart"/>
      <w:r>
        <w:t>splnění</w:t>
      </w:r>
      <w:proofErr w:type="spellEnd"/>
      <w:r>
        <w:t xml:space="preserve"> </w:t>
      </w:r>
      <w:proofErr w:type="spellStart"/>
      <w:r>
        <w:t>cílů</w:t>
      </w:r>
      <w:proofErr w:type="spellEnd"/>
      <w:r>
        <w:t xml:space="preserve"> </w:t>
      </w:r>
      <w:proofErr w:type="spellStart"/>
      <w:r>
        <w:t>rok</w:t>
      </w:r>
      <w:r w:rsidR="002E6B46">
        <w:t>u</w:t>
      </w:r>
      <w:proofErr w:type="spellEnd"/>
      <w:r>
        <w:t xml:space="preserve"> 2025 a </w:t>
      </w:r>
      <w:proofErr w:type="spellStart"/>
      <w:r w:rsidR="00DF07C8">
        <w:t>úspěšný</w:t>
      </w:r>
      <w:proofErr w:type="spellEnd"/>
      <w:r>
        <w:t xml:space="preserve"> </w:t>
      </w:r>
      <w:proofErr w:type="spellStart"/>
      <w:r w:rsidR="00DF07C8">
        <w:t>vstup</w:t>
      </w:r>
      <w:proofErr w:type="spellEnd"/>
      <w:r>
        <w:t xml:space="preserve"> do </w:t>
      </w:r>
      <w:proofErr w:type="spellStart"/>
      <w:r>
        <w:t>roku</w:t>
      </w:r>
      <w:proofErr w:type="spellEnd"/>
      <w:r>
        <w:t xml:space="preserve"> 2026: </w:t>
      </w:r>
      <w:proofErr w:type="spellStart"/>
      <w:r w:rsidR="00DF07C8">
        <w:t>Společnost</w:t>
      </w:r>
      <w:proofErr w:type="spellEnd"/>
      <w:r w:rsidR="00DF07C8">
        <w:t xml:space="preserve"> </w:t>
      </w:r>
      <w:r>
        <w:t xml:space="preserve">Koenig &amp; Bauer </w:t>
      </w:r>
      <w:proofErr w:type="spellStart"/>
      <w:r w:rsidR="00FC586E">
        <w:t>naplnila</w:t>
      </w:r>
      <w:proofErr w:type="spellEnd"/>
      <w:r w:rsidR="00FC586E">
        <w:t xml:space="preserve"> </w:t>
      </w:r>
      <w:proofErr w:type="spellStart"/>
      <w:r>
        <w:t>roční</w:t>
      </w:r>
      <w:proofErr w:type="spellEnd"/>
      <w:r>
        <w:t xml:space="preserve"> </w:t>
      </w:r>
      <w:proofErr w:type="spellStart"/>
      <w:r>
        <w:t>cíl</w:t>
      </w:r>
      <w:r w:rsidR="00FC586E">
        <w:t>e</w:t>
      </w:r>
      <w:proofErr w:type="spellEnd"/>
      <w:r>
        <w:t xml:space="preserve">, </w:t>
      </w:r>
      <w:proofErr w:type="spellStart"/>
      <w:r>
        <w:t>zvýšil</w:t>
      </w:r>
      <w:r w:rsidR="00DF07C8">
        <w:t>a</w:t>
      </w:r>
      <w:proofErr w:type="spellEnd"/>
      <w:r>
        <w:t xml:space="preserve"> </w:t>
      </w:r>
      <w:proofErr w:type="spellStart"/>
      <w:r>
        <w:t>objem</w:t>
      </w:r>
      <w:proofErr w:type="spellEnd"/>
      <w:r>
        <w:t xml:space="preserve"> </w:t>
      </w:r>
      <w:proofErr w:type="spellStart"/>
      <w:r>
        <w:t>přijatých</w:t>
      </w:r>
      <w:proofErr w:type="spellEnd"/>
      <w:r>
        <w:t xml:space="preserve"> </w:t>
      </w:r>
      <w:proofErr w:type="spellStart"/>
      <w:r>
        <w:t>zakázek</w:t>
      </w:r>
      <w:proofErr w:type="spellEnd"/>
      <w:r>
        <w:t xml:space="preserve"> v </w:t>
      </w:r>
      <w:proofErr w:type="spellStart"/>
      <w:r>
        <w:t>prvním</w:t>
      </w:r>
      <w:proofErr w:type="spellEnd"/>
      <w:r>
        <w:t xml:space="preserve"> </w:t>
      </w:r>
      <w:proofErr w:type="spellStart"/>
      <w:r>
        <w:t>čtvrtletí</w:t>
      </w:r>
      <w:proofErr w:type="spellEnd"/>
      <w:r>
        <w:t xml:space="preserve"> a s </w:t>
      </w:r>
      <w:proofErr w:type="spellStart"/>
      <w:r>
        <w:t>programem</w:t>
      </w:r>
      <w:proofErr w:type="spellEnd"/>
      <w:r>
        <w:t xml:space="preserve"> „IMPACT“ </w:t>
      </w:r>
      <w:proofErr w:type="spellStart"/>
      <w:r>
        <w:t>vstupuje</w:t>
      </w:r>
      <w:proofErr w:type="spellEnd"/>
      <w:r>
        <w:t xml:space="preserve"> do </w:t>
      </w:r>
      <w:proofErr w:type="spellStart"/>
      <w:r>
        <w:t>nové</w:t>
      </w:r>
      <w:proofErr w:type="spellEnd"/>
      <w:r>
        <w:t xml:space="preserve"> </w:t>
      </w:r>
      <w:proofErr w:type="spellStart"/>
      <w:r>
        <w:t>éry</w:t>
      </w:r>
      <w:proofErr w:type="spellEnd"/>
    </w:p>
    <w:p w14:paraId="34476BF5" w14:textId="3ABD84BB" w:rsidR="009D33CC" w:rsidRPr="00885A73" w:rsidRDefault="00A5762F" w:rsidP="00885A73">
      <w:pPr>
        <w:pStyle w:val="Odstavecseseznamem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lang w:val="pt-BR"/>
        </w:rPr>
      </w:pPr>
      <w:proofErr w:type="spellStart"/>
      <w:r w:rsidRPr="008430D1">
        <w:t>Tržby</w:t>
      </w:r>
      <w:proofErr w:type="spellEnd"/>
      <w:r w:rsidRPr="008430D1">
        <w:t xml:space="preserve"> </w:t>
      </w:r>
      <w:proofErr w:type="spellStart"/>
      <w:r w:rsidR="008430D1" w:rsidRPr="008430D1">
        <w:t>vzrostly</w:t>
      </w:r>
      <w:proofErr w:type="spellEnd"/>
      <w:r w:rsidRPr="008430D1">
        <w:t xml:space="preserve"> </w:t>
      </w:r>
      <w:proofErr w:type="spellStart"/>
      <w:r w:rsidRPr="008430D1">
        <w:t>podle</w:t>
      </w:r>
      <w:proofErr w:type="spellEnd"/>
      <w:r w:rsidRPr="008430D1">
        <w:t xml:space="preserve"> </w:t>
      </w:r>
      <w:proofErr w:type="spellStart"/>
      <w:r w:rsidRPr="008430D1">
        <w:t>plánu</w:t>
      </w:r>
      <w:proofErr w:type="spellEnd"/>
      <w:r w:rsidRPr="008430D1">
        <w:t xml:space="preserve"> na </w:t>
      </w:r>
      <w:proofErr w:type="spellStart"/>
      <w:r w:rsidRPr="008430D1">
        <w:t>přibližně</w:t>
      </w:r>
      <w:proofErr w:type="spellEnd"/>
      <w:r w:rsidRPr="008430D1">
        <w:t xml:space="preserve"> 1,3 </w:t>
      </w:r>
      <w:proofErr w:type="spellStart"/>
      <w:r w:rsidRPr="008430D1">
        <w:t>mld</w:t>
      </w:r>
      <w:proofErr w:type="spellEnd"/>
      <w:r w:rsidRPr="008430D1">
        <w:t xml:space="preserve">. </w:t>
      </w:r>
      <w:r w:rsidRPr="00546859">
        <w:t xml:space="preserve">€ </w:t>
      </w:r>
      <w:proofErr w:type="spellStart"/>
      <w:r w:rsidRPr="00546859">
        <w:t>při</w:t>
      </w:r>
      <w:proofErr w:type="spellEnd"/>
      <w:r w:rsidRPr="00546859">
        <w:t xml:space="preserve"> </w:t>
      </w:r>
      <w:proofErr w:type="spellStart"/>
      <w:r w:rsidRPr="00546859">
        <w:t>výrazně</w:t>
      </w:r>
      <w:proofErr w:type="spellEnd"/>
      <w:r w:rsidRPr="00546859">
        <w:t xml:space="preserve"> </w:t>
      </w:r>
      <w:proofErr w:type="spellStart"/>
      <w:r w:rsidRPr="00546859">
        <w:t>zlepšeném</w:t>
      </w:r>
      <w:proofErr w:type="spellEnd"/>
      <w:r w:rsidRPr="00546859">
        <w:t xml:space="preserve"> </w:t>
      </w:r>
      <w:proofErr w:type="spellStart"/>
      <w:r w:rsidRPr="00546859">
        <w:t>provozním</w:t>
      </w:r>
      <w:proofErr w:type="spellEnd"/>
      <w:r w:rsidRPr="00546859">
        <w:t xml:space="preserve"> EBIT</w:t>
      </w:r>
      <w:r w:rsidR="00DF07C8" w:rsidRPr="00546859">
        <w:t xml:space="preserve"> </w:t>
      </w:r>
      <w:proofErr w:type="spellStart"/>
      <w:r w:rsidRPr="00546859">
        <w:t>ve</w:t>
      </w:r>
      <w:proofErr w:type="spellEnd"/>
      <w:r w:rsidRPr="00546859">
        <w:t xml:space="preserve"> </w:t>
      </w:r>
      <w:proofErr w:type="spellStart"/>
      <w:r w:rsidRPr="00546859">
        <w:t>výši</w:t>
      </w:r>
      <w:proofErr w:type="spellEnd"/>
      <w:r w:rsidRPr="00546859">
        <w:t xml:space="preserve"> 36,6 mil. </w:t>
      </w:r>
      <w:r w:rsidRPr="00885A73">
        <w:rPr>
          <w:lang w:val="pt-BR"/>
        </w:rPr>
        <w:t>€ (předchozí rok: 15,3 mil. €) – provozní marže EBIT stoup</w:t>
      </w:r>
      <w:r w:rsidR="008430D1" w:rsidRPr="00885A73">
        <w:rPr>
          <w:lang w:val="pt-BR"/>
        </w:rPr>
        <w:t>la</w:t>
      </w:r>
      <w:r w:rsidRPr="00885A73">
        <w:rPr>
          <w:lang w:val="pt-BR"/>
        </w:rPr>
        <w:t xml:space="preserve"> na 2,8 %</w:t>
      </w:r>
    </w:p>
    <w:p w14:paraId="33056B93" w14:textId="469387AA" w:rsidR="009D33CC" w:rsidRPr="00885A73" w:rsidRDefault="008430D1" w:rsidP="00885A73">
      <w:pPr>
        <w:pStyle w:val="Odstavecseseznamem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lang w:val="pt-BR"/>
        </w:rPr>
      </w:pPr>
      <w:r w:rsidRPr="00885A73">
        <w:rPr>
          <w:lang w:val="pt-BR"/>
        </w:rPr>
        <w:t xml:space="preserve">Free cashflow </w:t>
      </w:r>
      <w:r w:rsidR="00A5762F" w:rsidRPr="00885A73">
        <w:rPr>
          <w:lang w:val="pt-BR"/>
        </w:rPr>
        <w:t xml:space="preserve">za celý rok </w:t>
      </w:r>
      <w:r w:rsidR="00545A06" w:rsidRPr="00885A73">
        <w:rPr>
          <w:lang w:val="pt-BR"/>
        </w:rPr>
        <w:t xml:space="preserve">dosáhl kladné hodnoty </w:t>
      </w:r>
      <w:r w:rsidR="00A5762F" w:rsidRPr="00885A73">
        <w:rPr>
          <w:lang w:val="pt-BR"/>
        </w:rPr>
        <w:t xml:space="preserve">7,2 mil. € – </w:t>
      </w:r>
      <w:r w:rsidRPr="00885A73">
        <w:rPr>
          <w:lang w:val="pt-BR"/>
        </w:rPr>
        <w:t>vý</w:t>
      </w:r>
      <w:r w:rsidR="00545A06" w:rsidRPr="00885A73">
        <w:rPr>
          <w:lang w:val="pt-BR"/>
        </w:rPr>
        <w:t xml:space="preserve">razný </w:t>
      </w:r>
      <w:r w:rsidR="00A5762F" w:rsidRPr="00885A73">
        <w:rPr>
          <w:lang w:val="pt-BR"/>
        </w:rPr>
        <w:t>příliv finančních prostředků v</w:t>
      </w:r>
      <w:r w:rsidR="00545A06" w:rsidRPr="00885A73">
        <w:rPr>
          <w:lang w:val="pt-BR"/>
        </w:rPr>
        <w:t>e</w:t>
      </w:r>
      <w:r w:rsidR="00A5762F" w:rsidRPr="00885A73">
        <w:rPr>
          <w:lang w:val="pt-BR"/>
        </w:rPr>
        <w:t xml:space="preserve"> </w:t>
      </w:r>
      <w:r w:rsidR="00545A06" w:rsidRPr="00885A73">
        <w:rPr>
          <w:lang w:val="pt-BR"/>
        </w:rPr>
        <w:t>čtvrtém</w:t>
      </w:r>
      <w:r w:rsidR="00A5762F" w:rsidRPr="00885A73">
        <w:rPr>
          <w:lang w:val="pt-BR"/>
        </w:rPr>
        <w:t xml:space="preserve"> čtvrtletí</w:t>
      </w:r>
    </w:p>
    <w:p w14:paraId="71FCB825" w14:textId="5A2D9A66" w:rsidR="009D33CC" w:rsidRPr="00885A73" w:rsidRDefault="00A5762F" w:rsidP="00885A73">
      <w:pPr>
        <w:pStyle w:val="Odstavecseseznamem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lang w:val="pt-BR"/>
        </w:rPr>
      </w:pPr>
      <w:r w:rsidRPr="00885A73">
        <w:rPr>
          <w:lang w:val="pt-BR"/>
        </w:rPr>
        <w:t xml:space="preserve">Úspěšný vývoj segmentů: </w:t>
      </w:r>
      <w:r w:rsidR="0073501B" w:rsidRPr="00885A73">
        <w:rPr>
          <w:lang w:val="pt-BR"/>
        </w:rPr>
        <w:t>v</w:t>
      </w:r>
      <w:r w:rsidRPr="00885A73">
        <w:rPr>
          <w:lang w:val="pt-BR"/>
        </w:rPr>
        <w:t xml:space="preserve">ýrazné zvýšení ziskovosti v segmentu Paper &amp; Packaging (P&amp;P) a </w:t>
      </w:r>
      <w:r w:rsidR="00533B10" w:rsidRPr="00885A73">
        <w:rPr>
          <w:lang w:val="pt-BR"/>
        </w:rPr>
        <w:t xml:space="preserve">pozitivní obrat </w:t>
      </w:r>
      <w:r w:rsidRPr="00885A73">
        <w:rPr>
          <w:lang w:val="pt-BR"/>
        </w:rPr>
        <w:t>v segmentu Special &amp; New Technologies (S&amp;T)</w:t>
      </w:r>
    </w:p>
    <w:p w14:paraId="07316A2B" w14:textId="22891725" w:rsidR="009D33CC" w:rsidRPr="00885A73" w:rsidRDefault="00A5762F" w:rsidP="00885A73">
      <w:pPr>
        <w:pStyle w:val="Odstavecseseznamem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lang w:val="pt-BR"/>
        </w:rPr>
      </w:pPr>
      <w:r w:rsidRPr="00885A73">
        <w:rPr>
          <w:lang w:val="pt-BR"/>
        </w:rPr>
        <w:t xml:space="preserve">Strategický plán „IMPACT“ </w:t>
      </w:r>
      <w:r w:rsidR="00533B10" w:rsidRPr="00885A73">
        <w:rPr>
          <w:lang w:val="pt-BR"/>
        </w:rPr>
        <w:t xml:space="preserve">připravuje </w:t>
      </w:r>
      <w:r w:rsidRPr="00885A73">
        <w:rPr>
          <w:lang w:val="pt-BR"/>
        </w:rPr>
        <w:t>skupinu na nadcházející desetiletí: střednědobý potenciál tržeb 1,5 mld. € při provozní marži EBITDA nejméně 8 %</w:t>
      </w:r>
    </w:p>
    <w:p w14:paraId="0DC29784" w14:textId="2602FD71" w:rsidR="009D33CC" w:rsidRPr="00885A73" w:rsidRDefault="00533B10" w:rsidP="00885A73">
      <w:pPr>
        <w:pStyle w:val="Odstavecseseznamem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lang w:val="pt-BR"/>
        </w:rPr>
      </w:pPr>
      <w:r w:rsidRPr="00885A73">
        <w:rPr>
          <w:lang w:val="pt-BR"/>
        </w:rPr>
        <w:t xml:space="preserve">Úspěšný vstup </w:t>
      </w:r>
      <w:r w:rsidR="00A5762F" w:rsidRPr="00885A73">
        <w:rPr>
          <w:lang w:val="pt-BR"/>
        </w:rPr>
        <w:t xml:space="preserve">do </w:t>
      </w:r>
      <w:r w:rsidRPr="00885A73">
        <w:rPr>
          <w:lang w:val="pt-BR"/>
        </w:rPr>
        <w:t xml:space="preserve">nového </w:t>
      </w:r>
      <w:r w:rsidR="00A5762F" w:rsidRPr="00885A73">
        <w:rPr>
          <w:lang w:val="pt-BR"/>
        </w:rPr>
        <w:t xml:space="preserve">roku podtrhuje odolnost: </w:t>
      </w:r>
      <w:r w:rsidR="007333E2" w:rsidRPr="00885A73">
        <w:rPr>
          <w:lang w:val="pt-BR"/>
        </w:rPr>
        <w:t>s</w:t>
      </w:r>
      <w:r w:rsidR="00A5762F" w:rsidRPr="00885A73">
        <w:rPr>
          <w:lang w:val="pt-BR"/>
        </w:rPr>
        <w:t xml:space="preserve">olidní </w:t>
      </w:r>
      <w:r w:rsidRPr="00885A73">
        <w:rPr>
          <w:lang w:val="pt-BR"/>
        </w:rPr>
        <w:t>stav</w:t>
      </w:r>
      <w:r w:rsidR="00A5762F" w:rsidRPr="00885A73">
        <w:rPr>
          <w:lang w:val="pt-BR"/>
        </w:rPr>
        <w:t xml:space="preserve"> zakázek a vyšší </w:t>
      </w:r>
      <w:r w:rsidRPr="00885A73">
        <w:rPr>
          <w:lang w:val="pt-BR"/>
        </w:rPr>
        <w:t>objem</w:t>
      </w:r>
      <w:r w:rsidR="00A5762F" w:rsidRPr="00885A73">
        <w:rPr>
          <w:lang w:val="pt-BR"/>
        </w:rPr>
        <w:t xml:space="preserve"> nov</w:t>
      </w:r>
      <w:r w:rsidR="007333E2" w:rsidRPr="00885A73">
        <w:rPr>
          <w:lang w:val="pt-BR"/>
        </w:rPr>
        <w:t>ých</w:t>
      </w:r>
      <w:r w:rsidR="001A477B" w:rsidRPr="00885A73">
        <w:rPr>
          <w:lang w:val="pt-BR"/>
        </w:rPr>
        <w:t xml:space="preserve"> </w:t>
      </w:r>
      <w:r w:rsidR="007333E2" w:rsidRPr="00885A73">
        <w:rPr>
          <w:lang w:val="pt-BR"/>
        </w:rPr>
        <w:t>objednávek</w:t>
      </w:r>
      <w:r w:rsidR="00A5762F" w:rsidRPr="00885A73">
        <w:rPr>
          <w:lang w:val="pt-BR"/>
        </w:rPr>
        <w:t xml:space="preserve"> v prvním čtvrtletí 2026 </w:t>
      </w:r>
      <w:r w:rsidR="00AB7EB0" w:rsidRPr="00885A73">
        <w:rPr>
          <w:lang w:val="pt-BR"/>
        </w:rPr>
        <w:t xml:space="preserve">oproti </w:t>
      </w:r>
      <w:r w:rsidR="00A5762F" w:rsidRPr="00885A73">
        <w:rPr>
          <w:lang w:val="pt-BR"/>
        </w:rPr>
        <w:t>předchozím</w:t>
      </w:r>
      <w:r w:rsidR="00AB7EB0" w:rsidRPr="00885A73">
        <w:rPr>
          <w:lang w:val="pt-BR"/>
        </w:rPr>
        <w:t>u</w:t>
      </w:r>
      <w:r w:rsidR="00A5762F" w:rsidRPr="00885A73">
        <w:rPr>
          <w:lang w:val="pt-BR"/>
        </w:rPr>
        <w:t xml:space="preserve"> rok</w:t>
      </w:r>
      <w:r w:rsidR="00AB7EB0" w:rsidRPr="00885A73">
        <w:rPr>
          <w:lang w:val="pt-BR"/>
        </w:rPr>
        <w:t>u</w:t>
      </w:r>
      <w:r w:rsidR="00A5762F" w:rsidRPr="00885A73">
        <w:rPr>
          <w:lang w:val="pt-BR"/>
        </w:rPr>
        <w:t xml:space="preserve"> </w:t>
      </w:r>
      <w:r w:rsidR="00AB7EB0" w:rsidRPr="00885A73">
        <w:rPr>
          <w:lang w:val="pt-BR"/>
        </w:rPr>
        <w:t>podporují</w:t>
      </w:r>
      <w:r w:rsidR="00A5762F" w:rsidRPr="00885A73">
        <w:rPr>
          <w:lang w:val="pt-BR"/>
        </w:rPr>
        <w:t xml:space="preserve"> splnění cílů</w:t>
      </w:r>
    </w:p>
    <w:p w14:paraId="7D3B56A6" w14:textId="2DD88BC6" w:rsidR="009D33CC" w:rsidRPr="00885A73" w:rsidRDefault="001A477B" w:rsidP="00885A73">
      <w:pPr>
        <w:pStyle w:val="Odstavecseseznamem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lang w:val="pt-BR"/>
        </w:rPr>
      </w:pPr>
      <w:r w:rsidRPr="00885A73">
        <w:rPr>
          <w:lang w:val="pt-BR"/>
        </w:rPr>
        <w:t>Prognóza</w:t>
      </w:r>
      <w:r w:rsidR="00A5762F" w:rsidRPr="00885A73">
        <w:rPr>
          <w:lang w:val="pt-BR"/>
        </w:rPr>
        <w:t xml:space="preserve"> na rok 2026: </w:t>
      </w:r>
      <w:r w:rsidR="00AB7EB0" w:rsidRPr="00885A73">
        <w:rPr>
          <w:lang w:val="pt-BR"/>
        </w:rPr>
        <w:t>o</w:t>
      </w:r>
      <w:r w:rsidR="00A5762F" w:rsidRPr="00885A73">
        <w:rPr>
          <w:lang w:val="pt-BR"/>
        </w:rPr>
        <w:t xml:space="preserve">čekává se stabilní vývoj podnikání s obratem koncernu na úrovni předchozího roku – </w:t>
      </w:r>
      <w:r w:rsidRPr="00885A73">
        <w:rPr>
          <w:lang w:val="pt-BR"/>
        </w:rPr>
        <w:t>prognóza</w:t>
      </w:r>
      <w:r w:rsidR="00A5762F" w:rsidRPr="00885A73">
        <w:rPr>
          <w:lang w:val="pt-BR"/>
        </w:rPr>
        <w:t xml:space="preserve"> </w:t>
      </w:r>
      <w:r w:rsidR="00533B10" w:rsidRPr="00885A73">
        <w:rPr>
          <w:lang w:val="pt-BR"/>
        </w:rPr>
        <w:t>vychází z</w:t>
      </w:r>
      <w:r w:rsidR="00A5762F" w:rsidRPr="00885A73">
        <w:rPr>
          <w:lang w:val="pt-BR"/>
        </w:rPr>
        <w:t xml:space="preserve"> provozní EBITDA ve výši přibližně 80 mil.</w:t>
      </w:r>
      <w:r w:rsidR="00533B10" w:rsidRPr="00885A73">
        <w:rPr>
          <w:lang w:val="pt-BR"/>
        </w:rPr>
        <w:t xml:space="preserve"> € </w:t>
      </w:r>
    </w:p>
    <w:p w14:paraId="651FDCFC" w14:textId="367D3971" w:rsidR="009D33CC" w:rsidRPr="00546859" w:rsidRDefault="00A5762F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A0F0A"/>
          <w:highlight w:val="white"/>
          <w:lang w:val="pt-BR"/>
        </w:rPr>
      </w:pPr>
      <w:r w:rsidRPr="00546859">
        <w:rPr>
          <w:color w:val="0A0F0A"/>
          <w:highlight w:val="white"/>
          <w:lang w:val="pt-BR"/>
        </w:rPr>
        <w:t>Společnost Koenig &amp; Bauer AG navzdory nejistotám v oblasti obchodní politiky, geopolitickým krizím a celkově volatilnímu tržnímu prostředí v roce 2025</w:t>
      </w:r>
      <w:r w:rsidR="00B14BC4">
        <w:rPr>
          <w:color w:val="0A0F0A"/>
          <w:highlight w:val="white"/>
          <w:lang w:val="pt-BR"/>
        </w:rPr>
        <w:t xml:space="preserve"> </w:t>
      </w:r>
      <w:r w:rsidR="00B14BC4" w:rsidRPr="00546859">
        <w:rPr>
          <w:color w:val="0A0F0A"/>
          <w:highlight w:val="white"/>
          <w:lang w:val="pt-BR"/>
        </w:rPr>
        <w:t>zvýšila</w:t>
      </w:r>
      <w:r w:rsidRPr="00546859">
        <w:rPr>
          <w:color w:val="0A0F0A"/>
          <w:highlight w:val="white"/>
          <w:lang w:val="pt-BR"/>
        </w:rPr>
        <w:t xml:space="preserve"> tržby </w:t>
      </w:r>
      <w:r w:rsidR="001A477B">
        <w:rPr>
          <w:color w:val="0A0F0A"/>
          <w:highlight w:val="white"/>
          <w:lang w:val="pt-BR"/>
        </w:rPr>
        <w:t>i</w:t>
      </w:r>
      <w:r w:rsidRPr="00546859">
        <w:rPr>
          <w:color w:val="0A0F0A"/>
          <w:highlight w:val="white"/>
          <w:lang w:val="pt-BR"/>
        </w:rPr>
        <w:t xml:space="preserve"> provozní ziskovost a </w:t>
      </w:r>
      <w:r w:rsidR="00B14BC4">
        <w:rPr>
          <w:color w:val="0A0F0A"/>
          <w:highlight w:val="white"/>
          <w:lang w:val="pt-BR"/>
        </w:rPr>
        <w:t>splnila</w:t>
      </w:r>
      <w:r w:rsidRPr="00546859">
        <w:rPr>
          <w:color w:val="0A0F0A"/>
          <w:highlight w:val="white"/>
          <w:lang w:val="pt-BR"/>
        </w:rPr>
        <w:t xml:space="preserve"> stanoven</w:t>
      </w:r>
      <w:r w:rsidR="00B14BC4">
        <w:rPr>
          <w:color w:val="0A0F0A"/>
          <w:highlight w:val="white"/>
          <w:lang w:val="pt-BR"/>
        </w:rPr>
        <w:t>é</w:t>
      </w:r>
      <w:r w:rsidRPr="00546859">
        <w:rPr>
          <w:color w:val="0A0F0A"/>
          <w:highlight w:val="white"/>
          <w:lang w:val="pt-BR"/>
        </w:rPr>
        <w:t xml:space="preserve"> roční cíl</w:t>
      </w:r>
      <w:r w:rsidR="0073447D">
        <w:rPr>
          <w:color w:val="0A0F0A"/>
          <w:highlight w:val="white"/>
          <w:lang w:val="pt-BR"/>
        </w:rPr>
        <w:t>e</w:t>
      </w:r>
      <w:r w:rsidRPr="00546859">
        <w:rPr>
          <w:color w:val="0A0F0A"/>
          <w:highlight w:val="white"/>
          <w:lang w:val="pt-BR"/>
        </w:rPr>
        <w:t xml:space="preserve">. </w:t>
      </w:r>
      <w:r w:rsidR="00533B10" w:rsidRPr="00546859">
        <w:rPr>
          <w:color w:val="0A0F0A"/>
          <w:highlight w:val="white"/>
          <w:lang w:val="pt-BR"/>
        </w:rPr>
        <w:t xml:space="preserve">Uplynulý </w:t>
      </w:r>
      <w:r w:rsidRPr="00546859">
        <w:rPr>
          <w:color w:val="0A0F0A"/>
          <w:highlight w:val="white"/>
          <w:lang w:val="pt-BR"/>
        </w:rPr>
        <w:t xml:space="preserve">rok </w:t>
      </w:r>
      <w:r w:rsidR="00533B10" w:rsidRPr="00546859">
        <w:rPr>
          <w:color w:val="0A0F0A"/>
          <w:highlight w:val="white"/>
          <w:lang w:val="pt-BR"/>
        </w:rPr>
        <w:t xml:space="preserve">se </w:t>
      </w:r>
      <w:r w:rsidR="0073447D">
        <w:rPr>
          <w:color w:val="0A0F0A"/>
          <w:highlight w:val="white"/>
          <w:lang w:val="pt-BR"/>
        </w:rPr>
        <w:t>nesl</w:t>
      </w:r>
      <w:r w:rsidR="00533B10" w:rsidRPr="00546859">
        <w:rPr>
          <w:color w:val="0A0F0A"/>
          <w:highlight w:val="white"/>
          <w:lang w:val="pt-BR"/>
        </w:rPr>
        <w:t xml:space="preserve"> </w:t>
      </w:r>
      <w:r w:rsidRPr="00546859">
        <w:rPr>
          <w:color w:val="0A0F0A"/>
          <w:highlight w:val="white"/>
          <w:lang w:val="pt-BR"/>
        </w:rPr>
        <w:t xml:space="preserve">ve znamení důsledné realizace </w:t>
      </w:r>
      <w:r w:rsidR="0073447D">
        <w:rPr>
          <w:color w:val="0A0F0A"/>
          <w:highlight w:val="white"/>
          <w:lang w:val="pt-BR"/>
        </w:rPr>
        <w:t xml:space="preserve">koncernového </w:t>
      </w:r>
      <w:r w:rsidRPr="00546859">
        <w:rPr>
          <w:color w:val="0A0F0A"/>
          <w:highlight w:val="white"/>
          <w:lang w:val="pt-BR"/>
        </w:rPr>
        <w:t xml:space="preserve">zaměření a strategické </w:t>
      </w:r>
      <w:r w:rsidR="0073447D">
        <w:rPr>
          <w:color w:val="0A0F0A"/>
          <w:highlight w:val="white"/>
          <w:lang w:val="pt-BR"/>
        </w:rPr>
        <w:t>transformace</w:t>
      </w:r>
      <w:r w:rsidRPr="00546859">
        <w:rPr>
          <w:color w:val="0A0F0A"/>
          <w:highlight w:val="white"/>
          <w:lang w:val="pt-BR"/>
        </w:rPr>
        <w:t xml:space="preserve"> prostřednictvím plánu „IMPACT“, schválen</w:t>
      </w:r>
      <w:r w:rsidR="004F60B9">
        <w:rPr>
          <w:color w:val="0A0F0A"/>
          <w:highlight w:val="white"/>
          <w:lang w:val="pt-BR"/>
        </w:rPr>
        <w:t>ého</w:t>
      </w:r>
      <w:r w:rsidRPr="00546859">
        <w:rPr>
          <w:color w:val="0A0F0A"/>
          <w:highlight w:val="white"/>
          <w:lang w:val="pt-BR"/>
        </w:rPr>
        <w:t xml:space="preserve"> na konci prosince.</w:t>
      </w:r>
    </w:p>
    <w:p w14:paraId="126DAC3B" w14:textId="33C866DF" w:rsidR="009D33CC" w:rsidRDefault="00A5762F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A0F0A"/>
          <w:highlight w:val="white"/>
          <w:lang w:val="pt-BR"/>
        </w:rPr>
      </w:pPr>
      <w:r w:rsidRPr="00546859">
        <w:rPr>
          <w:color w:val="0A0F0A"/>
          <w:highlight w:val="white"/>
          <w:lang w:val="pt-BR"/>
        </w:rPr>
        <w:t>„V současné době zažíváme globální průmyslový a politický přelom. Nejnovější vývoj na Blízkém východě od konce února jasn</w:t>
      </w:r>
      <w:r w:rsidR="004F60B9">
        <w:rPr>
          <w:color w:val="0A0F0A"/>
          <w:highlight w:val="white"/>
          <w:lang w:val="pt-BR"/>
        </w:rPr>
        <w:t>ě</w:t>
      </w:r>
      <w:r w:rsidRPr="00546859">
        <w:rPr>
          <w:color w:val="0A0F0A"/>
          <w:highlight w:val="white"/>
          <w:lang w:val="pt-BR"/>
        </w:rPr>
        <w:t xml:space="preserve"> </w:t>
      </w:r>
      <w:r w:rsidR="004F60B9">
        <w:rPr>
          <w:color w:val="0A0F0A"/>
          <w:highlight w:val="white"/>
          <w:lang w:val="pt-BR"/>
        </w:rPr>
        <w:t>ukazuje,</w:t>
      </w:r>
      <w:r w:rsidRPr="00546859">
        <w:rPr>
          <w:color w:val="0A0F0A"/>
          <w:highlight w:val="white"/>
          <w:lang w:val="pt-BR"/>
        </w:rPr>
        <w:t xml:space="preserve"> že volatilita se stala </w:t>
      </w:r>
      <w:r w:rsidR="00ED3D3E" w:rsidRPr="00546859">
        <w:rPr>
          <w:color w:val="0A0F0A"/>
          <w:highlight w:val="white"/>
          <w:lang w:val="pt-BR"/>
        </w:rPr>
        <w:t>„</w:t>
      </w:r>
      <w:r w:rsidRPr="00546859">
        <w:rPr>
          <w:color w:val="0A0F0A"/>
          <w:highlight w:val="white"/>
          <w:lang w:val="pt-BR"/>
        </w:rPr>
        <w:t>novou normou</w:t>
      </w:r>
      <w:r w:rsidR="00ED3D3E" w:rsidRPr="00546859">
        <w:rPr>
          <w:color w:val="0A0F0A"/>
          <w:highlight w:val="white"/>
          <w:lang w:val="pt-BR"/>
        </w:rPr>
        <w:t xml:space="preserve">“ </w:t>
      </w:r>
      <w:r w:rsidRPr="00546859">
        <w:rPr>
          <w:color w:val="0A0F0A"/>
          <w:highlight w:val="white"/>
          <w:lang w:val="pt-BR"/>
        </w:rPr>
        <w:t xml:space="preserve">,“ </w:t>
      </w:r>
      <w:r w:rsidR="00ED3D3E">
        <w:rPr>
          <w:color w:val="0A0F0A"/>
          <w:highlight w:val="white"/>
          <w:lang w:val="pt-BR"/>
        </w:rPr>
        <w:t>uv</w:t>
      </w:r>
      <w:proofErr w:type="spellStart"/>
      <w:r w:rsidR="00ED3D3E">
        <w:rPr>
          <w:color w:val="0A0F0A"/>
          <w:highlight w:val="white"/>
          <w:lang w:val="cs-CZ"/>
        </w:rPr>
        <w:t>ádí</w:t>
      </w:r>
      <w:proofErr w:type="spellEnd"/>
      <w:r w:rsidRPr="00546859">
        <w:rPr>
          <w:color w:val="0A0F0A"/>
          <w:highlight w:val="white"/>
          <w:lang w:val="pt-BR"/>
        </w:rPr>
        <w:t xml:space="preserve"> předseda představenstva Dr. Stephen Kimmich. </w:t>
      </w:r>
      <w:r w:rsidRPr="005B4779">
        <w:rPr>
          <w:color w:val="0A0F0A"/>
          <w:highlight w:val="white"/>
          <w:lang w:val="pt-BR"/>
        </w:rPr>
        <w:t xml:space="preserve">„Stabilita </w:t>
      </w:r>
      <w:r w:rsidR="00ED3D3E">
        <w:rPr>
          <w:color w:val="0A0F0A"/>
          <w:highlight w:val="white"/>
          <w:lang w:val="pt-BR"/>
        </w:rPr>
        <w:t>už</w:t>
      </w:r>
      <w:r w:rsidRPr="005B4779">
        <w:rPr>
          <w:color w:val="0A0F0A"/>
          <w:highlight w:val="white"/>
          <w:lang w:val="pt-BR"/>
        </w:rPr>
        <w:t xml:space="preserve"> není statickým stavem, na který se lze spolehnout. Naopak, </w:t>
      </w:r>
      <w:r w:rsidR="00E17D77">
        <w:rPr>
          <w:color w:val="0A0F0A"/>
          <w:highlight w:val="white"/>
          <w:lang w:val="pt-BR"/>
        </w:rPr>
        <w:t xml:space="preserve">klíčová je </w:t>
      </w:r>
      <w:r w:rsidRPr="005B4779">
        <w:rPr>
          <w:color w:val="0A0F0A"/>
          <w:highlight w:val="white"/>
          <w:lang w:val="pt-BR"/>
        </w:rPr>
        <w:t>vysoká schopnost</w:t>
      </w:r>
      <w:r w:rsidR="00E17D77">
        <w:rPr>
          <w:color w:val="0A0F0A"/>
          <w:highlight w:val="white"/>
          <w:lang w:val="pt-BR"/>
        </w:rPr>
        <w:t xml:space="preserve"> organizace rychle</w:t>
      </w:r>
      <w:r w:rsidRPr="005B4779">
        <w:rPr>
          <w:color w:val="0A0F0A"/>
          <w:highlight w:val="white"/>
          <w:lang w:val="pt-BR"/>
        </w:rPr>
        <w:t xml:space="preserve"> reagovat. V této fázi </w:t>
      </w:r>
      <w:r w:rsidR="00E17D77">
        <w:rPr>
          <w:color w:val="0A0F0A"/>
          <w:highlight w:val="white"/>
          <w:lang w:val="pt-BR"/>
        </w:rPr>
        <w:t>potvrzujeme</w:t>
      </w:r>
      <w:r w:rsidRPr="005B4779">
        <w:rPr>
          <w:color w:val="0A0F0A"/>
          <w:highlight w:val="white"/>
          <w:lang w:val="pt-BR"/>
        </w:rPr>
        <w:t xml:space="preserve">, jak </w:t>
      </w:r>
      <w:r w:rsidR="00E17D77">
        <w:rPr>
          <w:color w:val="0A0F0A"/>
          <w:highlight w:val="white"/>
          <w:lang w:val="pt-BR"/>
        </w:rPr>
        <w:t>pevná</w:t>
      </w:r>
      <w:r w:rsidRPr="005B4779">
        <w:rPr>
          <w:color w:val="0A0F0A"/>
          <w:highlight w:val="white"/>
          <w:lang w:val="pt-BR"/>
        </w:rPr>
        <w:t xml:space="preserve"> je pozice společnosti Koenig &amp; Bauer: </w:t>
      </w:r>
      <w:r w:rsidR="00F67DED">
        <w:rPr>
          <w:color w:val="0A0F0A"/>
          <w:highlight w:val="white"/>
          <w:lang w:val="pt-BR"/>
        </w:rPr>
        <w:t xml:space="preserve">disponujeme robustním </w:t>
      </w:r>
      <w:r w:rsidRPr="005B4779">
        <w:rPr>
          <w:color w:val="0A0F0A"/>
          <w:highlight w:val="white"/>
          <w:lang w:val="pt-BR"/>
        </w:rPr>
        <w:t xml:space="preserve">portfoliem zakázek v hodnotě 970,6 milionů eur a zkušenostmi s flexibilním přizpůsobováním procesů. </w:t>
      </w:r>
      <w:r w:rsidR="006D2FE8" w:rsidRPr="005B4779">
        <w:rPr>
          <w:color w:val="0A0F0A"/>
          <w:highlight w:val="white"/>
          <w:lang w:val="pt-BR"/>
        </w:rPr>
        <w:t>„</w:t>
      </w:r>
      <w:r w:rsidRPr="005B4779">
        <w:rPr>
          <w:color w:val="0A0F0A"/>
          <w:highlight w:val="white"/>
          <w:lang w:val="pt-BR"/>
        </w:rPr>
        <w:t>IMPACT</w:t>
      </w:r>
      <w:r w:rsidR="006D2FE8">
        <w:rPr>
          <w:color w:val="0A0F0A"/>
          <w:highlight w:val="white"/>
          <w:lang w:val="pt-BR"/>
        </w:rPr>
        <w:t xml:space="preserve">” </w:t>
      </w:r>
      <w:r w:rsidRPr="005B4779">
        <w:rPr>
          <w:color w:val="0A0F0A"/>
          <w:highlight w:val="white"/>
          <w:lang w:val="pt-BR"/>
        </w:rPr>
        <w:t xml:space="preserve">jako nový strategický plán </w:t>
      </w:r>
      <w:r w:rsidR="004C1F45">
        <w:rPr>
          <w:color w:val="0A0F0A"/>
          <w:highlight w:val="white"/>
          <w:lang w:val="pt-BR"/>
        </w:rPr>
        <w:t>určuje</w:t>
      </w:r>
      <w:r w:rsidRPr="005B4779">
        <w:rPr>
          <w:color w:val="0A0F0A"/>
          <w:highlight w:val="white"/>
          <w:lang w:val="pt-BR"/>
        </w:rPr>
        <w:t xml:space="preserve"> náš společný směr</w:t>
      </w:r>
      <w:r w:rsidR="004C1F45">
        <w:rPr>
          <w:color w:val="0A0F0A"/>
          <w:highlight w:val="white"/>
          <w:lang w:val="pt-BR"/>
        </w:rPr>
        <w:t xml:space="preserve"> -</w:t>
      </w:r>
      <w:r w:rsidRPr="005B4779">
        <w:rPr>
          <w:color w:val="0A0F0A"/>
          <w:highlight w:val="white"/>
          <w:lang w:val="pt-BR"/>
        </w:rPr>
        <w:t xml:space="preserve"> </w:t>
      </w:r>
      <w:r w:rsidR="004C1F45">
        <w:rPr>
          <w:color w:val="0A0F0A"/>
          <w:highlight w:val="white"/>
          <w:lang w:val="pt-BR"/>
        </w:rPr>
        <w:t>chceme</w:t>
      </w:r>
      <w:r w:rsidRPr="005B4779">
        <w:rPr>
          <w:color w:val="0A0F0A"/>
          <w:highlight w:val="white"/>
          <w:lang w:val="pt-BR"/>
        </w:rPr>
        <w:t xml:space="preserve"> aktivně formova</w:t>
      </w:r>
      <w:r w:rsidR="004C1F45">
        <w:rPr>
          <w:color w:val="0A0F0A"/>
          <w:highlight w:val="white"/>
          <w:lang w:val="pt-BR"/>
        </w:rPr>
        <w:t>t</w:t>
      </w:r>
      <w:r w:rsidRPr="005B4779">
        <w:rPr>
          <w:color w:val="0A0F0A"/>
          <w:highlight w:val="white"/>
          <w:lang w:val="pt-BR"/>
        </w:rPr>
        <w:t xml:space="preserve"> budoucnost polygrafického průmyslu a zajistili provozní odolnost pro příští desetiletí.“</w:t>
      </w:r>
      <w:r w:rsidR="00DF07C8">
        <w:rPr>
          <w:color w:val="0A0F0A"/>
          <w:highlight w:val="white"/>
          <w:lang w:val="pt-BR"/>
        </w:rPr>
        <w:t xml:space="preserve">  </w:t>
      </w:r>
    </w:p>
    <w:p w14:paraId="14751081" w14:textId="6F9AEC1F" w:rsidR="00546859" w:rsidRDefault="00A5762F" w:rsidP="00546859">
      <w:pPr>
        <w:spacing w:before="240"/>
        <w:rPr>
          <w:color w:val="0A0F0A"/>
          <w:lang w:val="pt-BR"/>
        </w:rPr>
      </w:pPr>
      <w:r w:rsidRPr="00546859">
        <w:rPr>
          <w:b/>
          <w:bCs/>
          <w:color w:val="002355"/>
          <w:lang w:val="pt-BR"/>
        </w:rPr>
        <w:lastRenderedPageBreak/>
        <w:t>Obchodní rok 2025: přesné splnění cílů a pozitivní vývoj cashflow</w:t>
      </w:r>
      <w:r w:rsidRPr="00546859">
        <w:rPr>
          <w:sz w:val="22"/>
          <w:szCs w:val="22"/>
          <w:lang w:val="pt-BR"/>
        </w:rPr>
        <w:br/>
      </w:r>
      <w:r w:rsidRPr="00546859">
        <w:rPr>
          <w:color w:val="0A0F0A"/>
          <w:highlight w:val="white"/>
          <w:lang w:val="pt-BR"/>
        </w:rPr>
        <w:t xml:space="preserve">Předběžné výsledky byly potvrzeny: Koenig &amp; Bauer dosáhla konsolidovaného obratu 1 302,4 mil. </w:t>
      </w:r>
      <w:r w:rsidRPr="00DF07C8">
        <w:rPr>
          <w:color w:val="0A0F0A"/>
          <w:highlight w:val="white"/>
          <w:lang w:val="pt-BR"/>
        </w:rPr>
        <w:t xml:space="preserve">€ (v předchozím roce 1 274,4 mil. €). Provozní ziskovost se </w:t>
      </w:r>
      <w:r w:rsidR="00EA2CB3">
        <w:rPr>
          <w:color w:val="0A0F0A"/>
          <w:highlight w:val="white"/>
          <w:lang w:val="pt-BR"/>
        </w:rPr>
        <w:t>výrazně</w:t>
      </w:r>
      <w:r w:rsidRPr="00DF07C8">
        <w:rPr>
          <w:color w:val="0A0F0A"/>
          <w:highlight w:val="white"/>
          <w:lang w:val="pt-BR"/>
        </w:rPr>
        <w:t xml:space="preserve"> zlepšila</w:t>
      </w:r>
      <w:r w:rsidR="00EA2CB3">
        <w:rPr>
          <w:color w:val="0A0F0A"/>
          <w:highlight w:val="white"/>
          <w:lang w:val="pt-BR"/>
        </w:rPr>
        <w:t xml:space="preserve"> -</w:t>
      </w:r>
      <w:r w:rsidRPr="00DF07C8">
        <w:rPr>
          <w:color w:val="0A0F0A"/>
          <w:highlight w:val="white"/>
          <w:lang w:val="pt-BR"/>
        </w:rPr>
        <w:t xml:space="preserve"> provozní EBIT vzrostl na 36,6 mil. € (v předchozí</w:t>
      </w:r>
      <w:r w:rsidR="00EA2CB3">
        <w:rPr>
          <w:color w:val="0A0F0A"/>
          <w:highlight w:val="white"/>
          <w:lang w:val="pt-BR"/>
        </w:rPr>
        <w:t xml:space="preserve"> </w:t>
      </w:r>
      <w:r w:rsidRPr="00DF07C8">
        <w:rPr>
          <w:color w:val="0A0F0A"/>
          <w:highlight w:val="white"/>
          <w:lang w:val="pt-BR"/>
        </w:rPr>
        <w:t>ro</w:t>
      </w:r>
      <w:r w:rsidR="00EA2CB3">
        <w:rPr>
          <w:color w:val="0A0F0A"/>
          <w:highlight w:val="white"/>
          <w:lang w:val="pt-BR"/>
        </w:rPr>
        <w:t>k</w:t>
      </w:r>
      <w:r w:rsidRPr="00DF07C8">
        <w:rPr>
          <w:color w:val="0A0F0A"/>
          <w:highlight w:val="white"/>
          <w:lang w:val="pt-BR"/>
        </w:rPr>
        <w:t xml:space="preserve"> 15,3 mil. €), </w:t>
      </w:r>
      <w:r w:rsidR="00EA2CB3">
        <w:rPr>
          <w:color w:val="0A0F0A"/>
          <w:highlight w:val="white"/>
          <w:lang w:val="pt-BR"/>
        </w:rPr>
        <w:t>což</w:t>
      </w:r>
      <w:r w:rsidRPr="00DF07C8">
        <w:rPr>
          <w:color w:val="0A0F0A"/>
          <w:highlight w:val="white"/>
          <w:lang w:val="pt-BR"/>
        </w:rPr>
        <w:t xml:space="preserve"> </w:t>
      </w:r>
      <w:r w:rsidR="00EA2CB3">
        <w:rPr>
          <w:color w:val="0A0F0A"/>
          <w:highlight w:val="white"/>
          <w:lang w:val="pt-BR"/>
        </w:rPr>
        <w:t xml:space="preserve">zvýšilo </w:t>
      </w:r>
      <w:r w:rsidRPr="00DF07C8">
        <w:rPr>
          <w:color w:val="0A0F0A"/>
          <w:highlight w:val="white"/>
          <w:lang w:val="pt-BR"/>
        </w:rPr>
        <w:t>provozní marž</w:t>
      </w:r>
      <w:r w:rsidR="00EA2CB3">
        <w:rPr>
          <w:color w:val="0A0F0A"/>
          <w:highlight w:val="white"/>
          <w:lang w:val="pt-BR"/>
        </w:rPr>
        <w:t>i</w:t>
      </w:r>
      <w:r w:rsidRPr="00DF07C8">
        <w:rPr>
          <w:color w:val="0A0F0A"/>
          <w:highlight w:val="white"/>
          <w:lang w:val="pt-BR"/>
        </w:rPr>
        <w:t xml:space="preserve"> EBIT na 2,8 %. </w:t>
      </w:r>
      <w:r w:rsidR="00746324">
        <w:rPr>
          <w:color w:val="0A0F0A"/>
          <w:highlight w:val="white"/>
          <w:lang w:val="pt-BR"/>
        </w:rPr>
        <w:t>K</w:t>
      </w:r>
      <w:r w:rsidRPr="00DF07C8">
        <w:rPr>
          <w:color w:val="0A0F0A"/>
          <w:highlight w:val="white"/>
          <w:lang w:val="pt-BR"/>
        </w:rPr>
        <w:t xml:space="preserve"> t</w:t>
      </w:r>
      <w:r w:rsidR="00746324">
        <w:rPr>
          <w:color w:val="0A0F0A"/>
          <w:highlight w:val="white"/>
          <w:lang w:val="pt-BR"/>
        </w:rPr>
        <w:t>omuto</w:t>
      </w:r>
      <w:r w:rsidR="00DB473F">
        <w:rPr>
          <w:color w:val="0A0F0A"/>
          <w:highlight w:val="white"/>
          <w:lang w:val="pt-BR"/>
        </w:rPr>
        <w:t xml:space="preserve"> výsledk</w:t>
      </w:r>
      <w:r w:rsidR="00746324">
        <w:rPr>
          <w:color w:val="0A0F0A"/>
          <w:highlight w:val="white"/>
          <w:lang w:val="pt-BR"/>
        </w:rPr>
        <w:t>u</w:t>
      </w:r>
      <w:r w:rsidRPr="00DF07C8">
        <w:rPr>
          <w:color w:val="0A0F0A"/>
          <w:highlight w:val="white"/>
          <w:lang w:val="pt-BR"/>
        </w:rPr>
        <w:t xml:space="preserve"> </w:t>
      </w:r>
      <w:r w:rsidR="00746324">
        <w:rPr>
          <w:color w:val="0A0F0A"/>
          <w:highlight w:val="white"/>
          <w:lang w:val="pt-BR"/>
        </w:rPr>
        <w:t>přispěl</w:t>
      </w:r>
      <w:r w:rsidRPr="00DF07C8">
        <w:rPr>
          <w:color w:val="0A0F0A"/>
          <w:highlight w:val="white"/>
          <w:lang w:val="pt-BR"/>
        </w:rPr>
        <w:t xml:space="preserve"> </w:t>
      </w:r>
      <w:r w:rsidR="00746324">
        <w:rPr>
          <w:color w:val="0A0F0A"/>
          <w:highlight w:val="white"/>
          <w:lang w:val="pt-BR"/>
        </w:rPr>
        <w:t>i</w:t>
      </w:r>
      <w:r w:rsidRPr="00DF07C8">
        <w:rPr>
          <w:color w:val="0A0F0A"/>
          <w:highlight w:val="white"/>
          <w:lang w:val="pt-BR"/>
        </w:rPr>
        <w:t xml:space="preserve"> výrazný pokles mimořádných nákladů na 5,3 mil. </w:t>
      </w:r>
      <w:r w:rsidR="00546859" w:rsidRPr="00DB473F">
        <w:rPr>
          <w:sz w:val="22"/>
          <w:szCs w:val="22"/>
          <w:lang w:val="pt-BR"/>
        </w:rPr>
        <w:t>€</w:t>
      </w:r>
      <w:r w:rsidRPr="00DF07C8">
        <w:rPr>
          <w:color w:val="0A0F0A"/>
          <w:highlight w:val="white"/>
          <w:lang w:val="pt-BR"/>
        </w:rPr>
        <w:t xml:space="preserve"> díky rozsáhlému dokončení programu „Spotlight“. Strategick</w:t>
      </w:r>
      <w:r w:rsidR="00DF07C8">
        <w:rPr>
          <w:color w:val="0A0F0A"/>
          <w:highlight w:val="white"/>
          <w:lang w:val="pt-BR"/>
        </w:rPr>
        <w:t>ou</w:t>
      </w:r>
      <w:r w:rsidRPr="00DF07C8">
        <w:rPr>
          <w:color w:val="0A0F0A"/>
          <w:highlight w:val="white"/>
          <w:lang w:val="pt-BR"/>
        </w:rPr>
        <w:t xml:space="preserve"> prioritou bylo zlepšení </w:t>
      </w:r>
      <w:r w:rsidR="00DF07C8">
        <w:rPr>
          <w:color w:val="0A0F0A"/>
          <w:highlight w:val="white"/>
          <w:lang w:val="pt-BR"/>
        </w:rPr>
        <w:t>cas</w:t>
      </w:r>
      <w:r w:rsidR="00AF76BE">
        <w:rPr>
          <w:color w:val="0A0F0A"/>
          <w:highlight w:val="white"/>
          <w:lang w:val="pt-BR"/>
        </w:rPr>
        <w:t>h</w:t>
      </w:r>
      <w:r w:rsidR="00DF07C8">
        <w:rPr>
          <w:color w:val="0A0F0A"/>
          <w:highlight w:val="white"/>
          <w:lang w:val="pt-BR"/>
        </w:rPr>
        <w:t>flow</w:t>
      </w:r>
      <w:r w:rsidRPr="00DF07C8">
        <w:rPr>
          <w:color w:val="0A0F0A"/>
          <w:highlight w:val="white"/>
          <w:lang w:val="pt-BR"/>
        </w:rPr>
        <w:t xml:space="preserve">: </w:t>
      </w:r>
      <w:r w:rsidR="00AF76BE">
        <w:rPr>
          <w:color w:val="0A0F0A"/>
          <w:highlight w:val="white"/>
          <w:lang w:val="pt-BR"/>
        </w:rPr>
        <w:t>ve</w:t>
      </w:r>
      <w:r w:rsidRPr="00DF07C8">
        <w:rPr>
          <w:color w:val="0A0F0A"/>
          <w:highlight w:val="white"/>
          <w:lang w:val="pt-BR"/>
        </w:rPr>
        <w:t xml:space="preserve"> </w:t>
      </w:r>
      <w:r w:rsidR="00AF76BE">
        <w:rPr>
          <w:color w:val="0A0F0A"/>
          <w:highlight w:val="white"/>
          <w:lang w:val="pt-BR"/>
        </w:rPr>
        <w:t>čtvrtém</w:t>
      </w:r>
      <w:r w:rsidRPr="00DF07C8">
        <w:rPr>
          <w:color w:val="0A0F0A"/>
          <w:highlight w:val="white"/>
          <w:lang w:val="pt-BR"/>
        </w:rPr>
        <w:t xml:space="preserve"> čtvrtletí společnost Koenig &amp; Bauer </w:t>
      </w:r>
      <w:r w:rsidR="00AF76BE" w:rsidRPr="00DF07C8">
        <w:rPr>
          <w:color w:val="0A0F0A"/>
          <w:highlight w:val="white"/>
          <w:lang w:val="pt-BR"/>
        </w:rPr>
        <w:t xml:space="preserve">dosáhla </w:t>
      </w:r>
      <w:r w:rsidRPr="00DF07C8">
        <w:rPr>
          <w:color w:val="0A0F0A"/>
          <w:highlight w:val="white"/>
          <w:lang w:val="pt-BR"/>
        </w:rPr>
        <w:t xml:space="preserve">silného přílivu </w:t>
      </w:r>
      <w:r w:rsidR="00DF07C8">
        <w:rPr>
          <w:color w:val="0A0F0A"/>
          <w:highlight w:val="white"/>
          <w:lang w:val="pt-BR"/>
        </w:rPr>
        <w:t>finančních prostředků</w:t>
      </w:r>
      <w:r w:rsidRPr="00DF07C8">
        <w:rPr>
          <w:color w:val="0A0F0A"/>
          <w:highlight w:val="white"/>
          <w:lang w:val="pt-BR"/>
        </w:rPr>
        <w:t xml:space="preserve"> ve výši 69,1 mil. </w:t>
      </w:r>
      <w:r w:rsidR="00546859" w:rsidRPr="00546859">
        <w:rPr>
          <w:sz w:val="22"/>
          <w:szCs w:val="22"/>
          <w:lang w:val="pt-BR"/>
        </w:rPr>
        <w:t>€</w:t>
      </w:r>
      <w:r w:rsidRPr="00DF07C8">
        <w:rPr>
          <w:color w:val="0A0F0A"/>
          <w:highlight w:val="white"/>
          <w:lang w:val="pt-BR"/>
        </w:rPr>
        <w:t xml:space="preserve">, </w:t>
      </w:r>
      <w:r w:rsidR="000F76FB">
        <w:rPr>
          <w:color w:val="0A0F0A"/>
          <w:highlight w:val="white"/>
          <w:lang w:val="pt-BR"/>
        </w:rPr>
        <w:t>což vedlo</w:t>
      </w:r>
      <w:r w:rsidRPr="00DF07C8">
        <w:rPr>
          <w:color w:val="0A0F0A"/>
          <w:highlight w:val="white"/>
          <w:lang w:val="pt-BR"/>
        </w:rPr>
        <w:t xml:space="preserve"> za celý rok </w:t>
      </w:r>
      <w:r w:rsidR="000F76FB">
        <w:rPr>
          <w:color w:val="0A0F0A"/>
          <w:highlight w:val="white"/>
          <w:lang w:val="pt-BR"/>
        </w:rPr>
        <w:t xml:space="preserve">ke </w:t>
      </w:r>
      <w:r w:rsidRPr="00DF07C8">
        <w:rPr>
          <w:color w:val="0A0F0A"/>
          <w:highlight w:val="white"/>
          <w:lang w:val="pt-BR"/>
        </w:rPr>
        <w:t>kladn</w:t>
      </w:r>
      <w:r w:rsidR="000F76FB">
        <w:rPr>
          <w:color w:val="0A0F0A"/>
          <w:highlight w:val="white"/>
          <w:lang w:val="pt-BR"/>
        </w:rPr>
        <w:t>ému</w:t>
      </w:r>
      <w:r w:rsidRPr="00DF07C8">
        <w:rPr>
          <w:color w:val="0A0F0A"/>
          <w:highlight w:val="white"/>
          <w:lang w:val="pt-BR"/>
        </w:rPr>
        <w:t xml:space="preserve"> </w:t>
      </w:r>
      <w:r w:rsidR="00DF07C8">
        <w:rPr>
          <w:color w:val="0A0F0A"/>
          <w:highlight w:val="white"/>
          <w:lang w:val="pt-BR"/>
        </w:rPr>
        <w:t>free cashflow</w:t>
      </w:r>
      <w:r w:rsidRPr="00DF07C8">
        <w:rPr>
          <w:color w:val="0A0F0A"/>
          <w:highlight w:val="white"/>
          <w:lang w:val="pt-BR"/>
        </w:rPr>
        <w:t xml:space="preserve"> 7,2 mil. </w:t>
      </w:r>
      <w:r w:rsidR="00546859" w:rsidRPr="00546859">
        <w:rPr>
          <w:sz w:val="22"/>
          <w:szCs w:val="22"/>
          <w:lang w:val="pt-BR"/>
        </w:rPr>
        <w:t>€</w:t>
      </w:r>
      <w:r w:rsidRPr="00DF07C8">
        <w:rPr>
          <w:color w:val="0A0F0A"/>
          <w:highlight w:val="white"/>
          <w:lang w:val="pt-BR"/>
        </w:rPr>
        <w:t xml:space="preserve">. Vzhledem k náročnému tržnímu </w:t>
      </w:r>
      <w:r w:rsidR="00546859">
        <w:rPr>
          <w:color w:val="0A0F0A"/>
          <w:lang w:val="pt-BR"/>
        </w:rPr>
        <w:t>prostředí představenstvo a dozorčí rada</w:t>
      </w:r>
      <w:r w:rsidR="000F76FB">
        <w:rPr>
          <w:color w:val="0A0F0A"/>
          <w:lang w:val="pt-BR"/>
        </w:rPr>
        <w:t xml:space="preserve"> navrhly nevyplácet za </w:t>
      </w:r>
      <w:r w:rsidR="00546859">
        <w:rPr>
          <w:color w:val="0A0F0A"/>
          <w:lang w:val="pt-BR"/>
        </w:rPr>
        <w:t>rok 2025 dividend</w:t>
      </w:r>
      <w:r w:rsidR="000F76FB">
        <w:rPr>
          <w:color w:val="0A0F0A"/>
          <w:lang w:val="pt-BR"/>
        </w:rPr>
        <w:t>u</w:t>
      </w:r>
      <w:r w:rsidR="00546859">
        <w:rPr>
          <w:color w:val="0A0F0A"/>
          <w:lang w:val="pt-BR"/>
        </w:rPr>
        <w:t xml:space="preserve">. </w:t>
      </w:r>
    </w:p>
    <w:p w14:paraId="3C3FEC1D" w14:textId="3EA7E0CA" w:rsidR="00B9285A" w:rsidRDefault="00A5762F" w:rsidP="00546859">
      <w:pPr>
        <w:spacing w:before="240"/>
        <w:rPr>
          <w:color w:val="0A0F0A"/>
          <w:highlight w:val="white"/>
          <w:lang w:val="pt-BR"/>
        </w:rPr>
      </w:pPr>
      <w:r w:rsidRPr="00546859">
        <w:rPr>
          <w:b/>
          <w:bCs/>
          <w:color w:val="002355"/>
          <w:lang w:val="pt-BR"/>
        </w:rPr>
        <w:t xml:space="preserve">Odolnost a </w:t>
      </w:r>
      <w:r w:rsidR="007D29EC">
        <w:rPr>
          <w:b/>
          <w:bCs/>
          <w:color w:val="002355"/>
          <w:lang w:val="pt-BR"/>
        </w:rPr>
        <w:t>pozitivní</w:t>
      </w:r>
      <w:r w:rsidRPr="00546859">
        <w:rPr>
          <w:b/>
          <w:bCs/>
          <w:color w:val="002355"/>
          <w:lang w:val="pt-BR"/>
        </w:rPr>
        <w:t xml:space="preserve"> obrat v segmentech</w:t>
      </w:r>
      <w:r w:rsidRPr="00546859">
        <w:rPr>
          <w:sz w:val="22"/>
          <w:szCs w:val="22"/>
          <w:lang w:val="pt-BR"/>
        </w:rPr>
        <w:t xml:space="preserve"> </w:t>
      </w:r>
      <w:r w:rsidRPr="00546859">
        <w:rPr>
          <w:sz w:val="22"/>
          <w:szCs w:val="22"/>
          <w:lang w:val="pt-BR"/>
        </w:rPr>
        <w:br/>
      </w:r>
      <w:r w:rsidR="00B9285A" w:rsidRPr="00B9285A">
        <w:rPr>
          <w:color w:val="0A0F0A"/>
          <w:highlight w:val="white"/>
          <w:lang w:val="pt-BR"/>
        </w:rPr>
        <w:t xml:space="preserve">Oba segmenty </w:t>
      </w:r>
      <w:r w:rsidR="00331207">
        <w:rPr>
          <w:color w:val="0A0F0A"/>
          <w:highlight w:val="white"/>
          <w:lang w:val="pt-BR"/>
        </w:rPr>
        <w:t xml:space="preserve">přispěly </w:t>
      </w:r>
      <w:r w:rsidR="00B9285A" w:rsidRPr="00B9285A">
        <w:rPr>
          <w:color w:val="0A0F0A"/>
          <w:highlight w:val="white"/>
          <w:lang w:val="pt-BR"/>
        </w:rPr>
        <w:t>v uplynulém roce k růstu ziskovosti. Segment Paper &amp; Packaging Sheetfed Systems (P&amp;P) zaznamenal mírn</w:t>
      </w:r>
      <w:r w:rsidR="00331207">
        <w:rPr>
          <w:color w:val="0A0F0A"/>
          <w:highlight w:val="white"/>
          <w:lang w:val="pt-BR"/>
        </w:rPr>
        <w:t>ý</w:t>
      </w:r>
      <w:r w:rsidR="00B9285A" w:rsidRPr="00B9285A">
        <w:rPr>
          <w:color w:val="0A0F0A"/>
          <w:highlight w:val="white"/>
          <w:lang w:val="pt-BR"/>
        </w:rPr>
        <w:t xml:space="preserve"> </w:t>
      </w:r>
      <w:r w:rsidR="00331207">
        <w:rPr>
          <w:color w:val="0A0F0A"/>
          <w:highlight w:val="white"/>
          <w:lang w:val="pt-BR"/>
        </w:rPr>
        <w:t>nárůst</w:t>
      </w:r>
      <w:r w:rsidR="00B9285A" w:rsidRPr="00B9285A">
        <w:rPr>
          <w:color w:val="0A0F0A"/>
          <w:highlight w:val="white"/>
          <w:lang w:val="pt-BR"/>
        </w:rPr>
        <w:t xml:space="preserve"> tržeb na 741,5 mil. € (+0,9 %). Provozní ziskovost se zde výrazně </w:t>
      </w:r>
      <w:r w:rsidR="00E40C04">
        <w:rPr>
          <w:color w:val="0A0F0A"/>
          <w:highlight w:val="white"/>
          <w:lang w:val="pt-BR"/>
        </w:rPr>
        <w:t>zlepšila</w:t>
      </w:r>
      <w:r w:rsidR="00E40C04" w:rsidRPr="007028D4">
        <w:rPr>
          <w:color w:val="0A0F0A"/>
          <w:highlight w:val="white"/>
          <w:lang w:val="pt-BR"/>
        </w:rPr>
        <w:t>;</w:t>
      </w:r>
      <w:r w:rsidR="00E40C04">
        <w:rPr>
          <w:color w:val="0A0F0A"/>
          <w:highlight w:val="white"/>
          <w:lang w:val="pt-BR"/>
        </w:rPr>
        <w:t xml:space="preserve"> </w:t>
      </w:r>
      <w:r w:rsidR="00B9285A" w:rsidRPr="00B9285A">
        <w:rPr>
          <w:color w:val="0A0F0A"/>
          <w:highlight w:val="white"/>
          <w:lang w:val="pt-BR"/>
        </w:rPr>
        <w:t xml:space="preserve">provozní EBIT dosáhl </w:t>
      </w:r>
      <w:r w:rsidR="00E40C04">
        <w:rPr>
          <w:color w:val="0A0F0A"/>
          <w:highlight w:val="white"/>
          <w:lang w:val="pt-BR"/>
        </w:rPr>
        <w:t xml:space="preserve">hodnoty </w:t>
      </w:r>
      <w:r w:rsidR="00B9285A" w:rsidRPr="00B9285A">
        <w:rPr>
          <w:color w:val="0A0F0A"/>
          <w:highlight w:val="white"/>
          <w:lang w:val="pt-BR"/>
        </w:rPr>
        <w:t xml:space="preserve">25,0 mil. € (předchozí rok 17,1 mil. €). Objem přijatých zakázek zůstal s hodnotou 704,0 mil. € mimořádně stabilní i po velmi silném předchozím roce, který byl ovlivněn předním světovým veletrhem drupa. </w:t>
      </w:r>
    </w:p>
    <w:p w14:paraId="4F7DD436" w14:textId="77777777" w:rsidR="00AD6990" w:rsidRPr="00AD6990" w:rsidRDefault="00A5762F" w:rsidP="00546859">
      <w:pPr>
        <w:spacing w:before="240"/>
        <w:rPr>
          <w:color w:val="0A0F0A"/>
          <w:highlight w:val="white"/>
          <w:lang w:val="pt-BR"/>
        </w:rPr>
      </w:pPr>
      <w:r w:rsidRPr="000152AC">
        <w:rPr>
          <w:color w:val="0A0F0A"/>
          <w:highlight w:val="white"/>
          <w:lang w:val="pt-BR"/>
        </w:rPr>
        <w:t xml:space="preserve">V segmentu Special &amp; New Technologies (S&amp;T) </w:t>
      </w:r>
      <w:r w:rsidR="00AD6990" w:rsidRPr="00AD6990">
        <w:rPr>
          <w:color w:val="0A0F0A"/>
          <w:highlight w:val="white"/>
          <w:lang w:val="pt-BR"/>
        </w:rPr>
        <w:t>se podařilo dosáhnout výrazného posunu a pozitivního obratu: provozní EBIT se zlepšil na 9,0 mil. € (předchozí rok -15,4 mil. €). Tržby segmentu vzrostly o 6,8 % na 596,0 mil. €, zejména díky pokroku v projektech bankovek a stabilnímu výkonu servisních služeb. Očekávaný pokles objemu přijatých zakázek na 558,4 mil. € je důsledkem mimořádně vysokého objemu objednávek od US-Bundesdruckerei v předchozím roce. Speciální trhy a nové technologie však vykázaly povzbudivou dynamiku, která potvrzuje široké a vyvážené zaměření segmentu.</w:t>
      </w:r>
    </w:p>
    <w:p w14:paraId="1FA6AB54" w14:textId="77777777" w:rsidR="00116488" w:rsidRPr="00116488" w:rsidRDefault="00A5762F" w:rsidP="00546859">
      <w:pPr>
        <w:spacing w:before="240"/>
        <w:rPr>
          <w:color w:val="0A0F0A"/>
          <w:highlight w:val="white"/>
          <w:lang w:val="pt-BR"/>
        </w:rPr>
      </w:pPr>
      <w:r w:rsidRPr="007D29EC">
        <w:rPr>
          <w:b/>
          <w:bCs/>
          <w:color w:val="002355"/>
          <w:lang w:val="pt-BR"/>
        </w:rPr>
        <w:t xml:space="preserve">Pohyb jako princip: nový strategický </w:t>
      </w:r>
      <w:r w:rsidR="00DB473F">
        <w:rPr>
          <w:b/>
          <w:bCs/>
          <w:color w:val="002355"/>
          <w:lang w:val="pt-BR"/>
        </w:rPr>
        <w:t>plán</w:t>
      </w:r>
      <w:r w:rsidRPr="007D29EC">
        <w:rPr>
          <w:b/>
          <w:bCs/>
          <w:color w:val="002355"/>
          <w:lang w:val="pt-BR"/>
        </w:rPr>
        <w:t xml:space="preserve"> „IMPACT“</w:t>
      </w:r>
      <w:r w:rsidRPr="007D29EC">
        <w:rPr>
          <w:sz w:val="22"/>
          <w:szCs w:val="22"/>
          <w:lang w:val="pt-BR"/>
        </w:rPr>
        <w:t xml:space="preserve"> </w:t>
      </w:r>
      <w:r w:rsidRPr="007D29EC">
        <w:rPr>
          <w:sz w:val="22"/>
          <w:szCs w:val="22"/>
          <w:lang w:val="pt-BR"/>
        </w:rPr>
        <w:br/>
      </w:r>
      <w:r w:rsidR="00116488" w:rsidRPr="00116488">
        <w:rPr>
          <w:color w:val="0A0F0A"/>
          <w:highlight w:val="white"/>
          <w:lang w:val="pt-BR"/>
        </w:rPr>
        <w:t>Plán „IMPACT“, přijatý na konci roku 2025, nahrazuje dosavadní strategii a zaměřuje se na transformaci společnosti od tradičního výrobce strojů ke komplexnímu poskytovateli technologií. Tento nový směr je vizuálně i obsahově symbolizován koulí. Koenig &amp; Bauer není statická, ale dynamická společnost, v níž je pohyb sjednocujícím principem – od přesně rotujících tiskových válců až po miliardy kapek inkoustu v digitálním tisku. Koule nikdy nezůstává v klidu; představuje potenciál pohybu, schopnost přijímat síly a přenášet účinek. Skutečný „IMPACT“ vzniká až zrychlením, kontaktem a stlačením. Stejný princip se promítá i do strategie: každé rozhodnutí uvádí něco do pohybu, každý pohyb má jasný směr a každý směr vytváří měřitelný přínos pro zákazníky i akcionáře.</w:t>
      </w:r>
    </w:p>
    <w:p w14:paraId="00B4C410" w14:textId="77777777" w:rsidR="00664467" w:rsidRDefault="00664467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A0F0A"/>
          <w:highlight w:val="white"/>
          <w:lang w:val="pt-BR"/>
        </w:rPr>
      </w:pPr>
      <w:r w:rsidRPr="00664467">
        <w:rPr>
          <w:color w:val="0A0F0A"/>
          <w:highlight w:val="white"/>
          <w:lang w:val="pt-BR"/>
        </w:rPr>
        <w:t>Akronym „IMPACT“, který dal strategii jméno, představuje šest klíčových oblastí činnosti, koncipovaných jako integrovaný systém s cílem dlouhodobě posílit konkurenceschopnost:</w:t>
      </w:r>
    </w:p>
    <w:p w14:paraId="63B26126" w14:textId="6E3B4AD4" w:rsidR="009D33CC" w:rsidRPr="00DF07C8" w:rsidRDefault="00A5762F">
      <w:pPr>
        <w:numPr>
          <w:ilvl w:val="0"/>
          <w:numId w:val="2"/>
        </w:numPr>
        <w:spacing w:before="240" w:after="0"/>
        <w:rPr>
          <w:lang w:val="pt-BR"/>
        </w:rPr>
      </w:pPr>
      <w:r w:rsidRPr="00DF07C8">
        <w:rPr>
          <w:b/>
          <w:bCs/>
          <w:lang w:val="pt-BR"/>
        </w:rPr>
        <w:t xml:space="preserve">Intelligence: </w:t>
      </w:r>
      <w:r w:rsidR="009E5256" w:rsidRPr="009E5256">
        <w:rPr>
          <w:lang w:val="pt-BR"/>
        </w:rPr>
        <w:t>Zavádíme umělou inteligenci napříč všemi činnostmi – od pracoviště až po stroje v oblasti softwaru a automatizace.</w:t>
      </w:r>
    </w:p>
    <w:p w14:paraId="4D45EACF" w14:textId="05EA0D37" w:rsidR="009D33CC" w:rsidRPr="00DF07C8" w:rsidRDefault="00A5762F">
      <w:pPr>
        <w:numPr>
          <w:ilvl w:val="0"/>
          <w:numId w:val="2"/>
        </w:numPr>
        <w:spacing w:after="0"/>
        <w:rPr>
          <w:lang w:val="pt-BR"/>
        </w:rPr>
      </w:pPr>
      <w:r w:rsidRPr="00DF07C8">
        <w:rPr>
          <w:b/>
          <w:bCs/>
          <w:lang w:val="pt-BR"/>
        </w:rPr>
        <w:t xml:space="preserve">Go-To-Market: </w:t>
      </w:r>
      <w:r w:rsidRPr="00DF07C8">
        <w:rPr>
          <w:lang w:val="pt-BR"/>
        </w:rPr>
        <w:t>Zaměřujeme se n</w:t>
      </w:r>
      <w:r w:rsidR="009313CD" w:rsidRPr="009313CD">
        <w:rPr>
          <w:lang w:val="pt-BR"/>
        </w:rPr>
        <w:t>a rozšíření stávajícího portfolia a cíleně oslovujeme rostoucí trhy, jako jsou Asie, Latinská Amerika, Indie, MEA a Čína, s řešeními přizpůsobenými jejich potřebám.</w:t>
      </w:r>
      <w:r w:rsidR="009313CD">
        <w:rPr>
          <w:lang w:val="pt-BR"/>
        </w:rPr>
        <w:t xml:space="preserve"> </w:t>
      </w:r>
    </w:p>
    <w:p w14:paraId="0E4DF8A5" w14:textId="76C8E191" w:rsidR="009D33CC" w:rsidRPr="00DF07C8" w:rsidRDefault="00A5762F">
      <w:pPr>
        <w:numPr>
          <w:ilvl w:val="0"/>
          <w:numId w:val="2"/>
        </w:numPr>
        <w:spacing w:after="0"/>
        <w:rPr>
          <w:lang w:val="pt-BR"/>
        </w:rPr>
      </w:pPr>
      <w:r w:rsidRPr="00DF07C8">
        <w:rPr>
          <w:b/>
          <w:bCs/>
          <w:lang w:val="pt-BR"/>
        </w:rPr>
        <w:t xml:space="preserve">People: </w:t>
      </w:r>
      <w:r w:rsidRPr="00DF07C8">
        <w:rPr>
          <w:lang w:val="pt-BR"/>
        </w:rPr>
        <w:t xml:space="preserve">Investujeme do našich </w:t>
      </w:r>
      <w:r w:rsidR="00F9145F" w:rsidRPr="00F9145F">
        <w:rPr>
          <w:lang w:val="pt-BR"/>
        </w:rPr>
        <w:t>globálních týmů, podporujeme jejich další vzdělávání a posilujeme místní organizace jako klíčové partnery zákazníků.</w:t>
      </w:r>
      <w:r w:rsidR="00F9145F">
        <w:rPr>
          <w:lang w:val="pt-BR"/>
        </w:rPr>
        <w:t xml:space="preserve"> </w:t>
      </w:r>
    </w:p>
    <w:p w14:paraId="60488591" w14:textId="1BC79241" w:rsidR="009D33CC" w:rsidRPr="00DF07C8" w:rsidRDefault="00A5762F">
      <w:pPr>
        <w:numPr>
          <w:ilvl w:val="0"/>
          <w:numId w:val="2"/>
        </w:numPr>
        <w:spacing w:after="0"/>
        <w:rPr>
          <w:lang w:val="pt-BR"/>
        </w:rPr>
      </w:pPr>
      <w:r w:rsidRPr="00DF07C8">
        <w:rPr>
          <w:b/>
          <w:bCs/>
          <w:lang w:val="pt-BR"/>
        </w:rPr>
        <w:lastRenderedPageBreak/>
        <w:t xml:space="preserve">Adaptability: </w:t>
      </w:r>
      <w:r w:rsidRPr="00DF07C8">
        <w:rPr>
          <w:lang w:val="pt-BR"/>
        </w:rPr>
        <w:t>Snižujeme závislosti a z</w:t>
      </w:r>
      <w:r w:rsidR="00F9145F" w:rsidRPr="00F9145F">
        <w:rPr>
          <w:lang w:val="pt-BR"/>
        </w:rPr>
        <w:t>vyšujeme odolnost vůči volatilním světovým trhům, mimo jiné rozšiřováním opakujících se tržeb a flexibilizací našich struktur.</w:t>
      </w:r>
      <w:r w:rsidR="00F9145F">
        <w:rPr>
          <w:lang w:val="pt-BR"/>
        </w:rPr>
        <w:t xml:space="preserve"> </w:t>
      </w:r>
    </w:p>
    <w:p w14:paraId="5938EB48" w14:textId="30C0170A" w:rsidR="009D33CC" w:rsidRPr="00DF07C8" w:rsidRDefault="00947AF0">
      <w:pPr>
        <w:numPr>
          <w:ilvl w:val="0"/>
          <w:numId w:val="2"/>
        </w:numPr>
        <w:spacing w:after="0"/>
        <w:rPr>
          <w:lang w:val="pt-BR"/>
        </w:rPr>
      </w:pPr>
      <w:r w:rsidRPr="00947AF0">
        <w:rPr>
          <w:b/>
          <w:bCs/>
          <w:lang w:val="pt-BR"/>
        </w:rPr>
        <w:t>Competitiveness</w:t>
      </w:r>
      <w:r w:rsidR="00A5762F" w:rsidRPr="00DF07C8">
        <w:rPr>
          <w:b/>
          <w:bCs/>
          <w:lang w:val="pt-BR"/>
        </w:rPr>
        <w:t xml:space="preserve">: </w:t>
      </w:r>
      <w:r w:rsidR="00A5762F" w:rsidRPr="00DF07C8">
        <w:rPr>
          <w:lang w:val="pt-BR"/>
        </w:rPr>
        <w:t xml:space="preserve">Díky štíhlejším procesům a </w:t>
      </w:r>
      <w:r w:rsidR="008C4C37" w:rsidRPr="008C4C37">
        <w:rPr>
          <w:lang w:val="pt-BR"/>
        </w:rPr>
        <w:t>optimalizovaným výrobním nákladům posilujeme naši konkurenceschopnost – obstojíme i na vysoce konkurenčních trzích střední technologické úrovně.</w:t>
      </w:r>
      <w:r w:rsidR="008C4C37">
        <w:rPr>
          <w:lang w:val="pt-BR"/>
        </w:rPr>
        <w:t xml:space="preserve"> </w:t>
      </w:r>
    </w:p>
    <w:p w14:paraId="77A720AA" w14:textId="63234F1E" w:rsidR="009D33CC" w:rsidRPr="00DF07C8" w:rsidRDefault="00A5762F">
      <w:pPr>
        <w:numPr>
          <w:ilvl w:val="0"/>
          <w:numId w:val="2"/>
        </w:numPr>
        <w:rPr>
          <w:lang w:val="pt-BR"/>
        </w:rPr>
      </w:pPr>
      <w:r w:rsidRPr="00DF07C8">
        <w:rPr>
          <w:b/>
          <w:bCs/>
          <w:lang w:val="pt-BR"/>
        </w:rPr>
        <w:t>Technolog</w:t>
      </w:r>
      <w:r w:rsidR="00947AF0">
        <w:rPr>
          <w:b/>
          <w:bCs/>
          <w:lang w:val="pt-BR"/>
        </w:rPr>
        <w:t>y</w:t>
      </w:r>
      <w:r w:rsidRPr="00DF07C8">
        <w:rPr>
          <w:b/>
          <w:bCs/>
          <w:lang w:val="pt-BR"/>
        </w:rPr>
        <w:t xml:space="preserve">: </w:t>
      </w:r>
      <w:r w:rsidRPr="00DF07C8">
        <w:rPr>
          <w:lang w:val="pt-BR"/>
        </w:rPr>
        <w:t xml:space="preserve">Technologické prvenství zůstává naší DNA. </w:t>
      </w:r>
      <w:r w:rsidR="00F4065D" w:rsidRPr="00F4065D">
        <w:rPr>
          <w:lang w:val="pt-BR"/>
        </w:rPr>
        <w:t>Přesvědčujeme inovacemi v oblasti workflow, softwarových řešení, digitálního tisku, automatizace a maximální produktivity i spolehlivosti.</w:t>
      </w:r>
      <w:r w:rsidR="00F4065D">
        <w:rPr>
          <w:lang w:val="pt-BR"/>
        </w:rPr>
        <w:t xml:space="preserve"> </w:t>
      </w:r>
    </w:p>
    <w:p w14:paraId="3D683A71" w14:textId="77777777" w:rsidR="00F800EB" w:rsidRDefault="004E46EB" w:rsidP="00F800EB">
      <w:pPr>
        <w:spacing w:before="240"/>
        <w:rPr>
          <w:color w:val="0A0F0A"/>
          <w:lang w:val="pt-BR"/>
        </w:rPr>
      </w:pPr>
      <w:r w:rsidRPr="004E46EB">
        <w:rPr>
          <w:color w:val="0A0F0A"/>
          <w:highlight w:val="white"/>
          <w:lang w:val="pt-BR"/>
        </w:rPr>
        <w:t xml:space="preserve">Tato strategie je podpořena přístupem „I ACT“, který převádí uvedené směry do konkrétního podnikatelského jednání. Na základě těchto oblastí si společnost Koenig &amp; Bauer stanovila jasný strategický cíl do roku 2030 a dále: potenciál tržeb ve výši 1,5 mld. € při provozní marži EBITDA nejméně 8 % (bez mimořádných vlivů). K dosažení tohoto cíle bude dále optimalizována koncernová struktura, </w:t>
      </w:r>
      <w:r w:rsidR="00F800EB" w:rsidRPr="008430D1">
        <w:rPr>
          <w:color w:val="0A0F0A"/>
          <w:highlight w:val="white"/>
          <w:lang w:val="pt-BR"/>
        </w:rPr>
        <w:t>k čemuž kromě zeštíhlené struktury na dva segmenty patří i plánované ukončení provozu společnosti Albert-Frankenthal GmbH.</w:t>
      </w:r>
    </w:p>
    <w:p w14:paraId="605FCE44" w14:textId="77777777" w:rsidR="00356716" w:rsidRPr="00356716" w:rsidRDefault="00DB473F" w:rsidP="00356716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A0F0A"/>
          <w:highlight w:val="white"/>
          <w:lang w:val="cs-CZ"/>
        </w:rPr>
      </w:pPr>
      <w:r>
        <w:rPr>
          <w:b/>
          <w:bCs/>
          <w:color w:val="002355"/>
          <w:lang w:val="pt-BR"/>
        </w:rPr>
        <w:t>Prognóza</w:t>
      </w:r>
      <w:r w:rsidR="00A5762F" w:rsidRPr="008430D1">
        <w:rPr>
          <w:b/>
          <w:bCs/>
          <w:color w:val="002355"/>
          <w:lang w:val="pt-BR"/>
        </w:rPr>
        <w:t xml:space="preserve"> </w:t>
      </w:r>
      <w:r>
        <w:rPr>
          <w:b/>
          <w:bCs/>
          <w:color w:val="002355"/>
          <w:lang w:val="pt-BR"/>
        </w:rPr>
        <w:t>pro</w:t>
      </w:r>
      <w:r w:rsidR="00A5762F" w:rsidRPr="008430D1">
        <w:rPr>
          <w:b/>
          <w:bCs/>
          <w:color w:val="002355"/>
          <w:lang w:val="pt-BR"/>
        </w:rPr>
        <w:t xml:space="preserve"> rok 2026: Stabilní vývoj podnikání a změna </w:t>
      </w:r>
      <w:r>
        <w:rPr>
          <w:b/>
          <w:bCs/>
          <w:color w:val="002355"/>
          <w:lang w:val="pt-BR"/>
        </w:rPr>
        <w:t xml:space="preserve">principu </w:t>
      </w:r>
      <w:r w:rsidR="00995F05">
        <w:rPr>
          <w:b/>
          <w:bCs/>
          <w:color w:val="002355"/>
          <w:lang w:val="pt-BR"/>
        </w:rPr>
        <w:t>prognózy</w:t>
      </w:r>
      <w:r w:rsidR="00A5762F" w:rsidRPr="008430D1">
        <w:rPr>
          <w:sz w:val="22"/>
          <w:szCs w:val="22"/>
          <w:lang w:val="pt-BR"/>
        </w:rPr>
        <w:t xml:space="preserve"> </w:t>
      </w:r>
      <w:r w:rsidR="00A5762F" w:rsidRPr="008430D1">
        <w:rPr>
          <w:sz w:val="22"/>
          <w:szCs w:val="22"/>
          <w:lang w:val="pt-BR"/>
        </w:rPr>
        <w:br/>
      </w:r>
      <w:r w:rsidR="00356716" w:rsidRPr="00356716">
        <w:rPr>
          <w:color w:val="0A0F0A"/>
          <w:highlight w:val="white"/>
          <w:lang w:val="cs-CZ"/>
        </w:rPr>
        <w:t>Pro obchodní rok 2026 očekává společnost Koenig &amp; Bauer pokračování provozní stability. Na začátku roku 2026 došlo k přechodu prognózy z provozního EBIT na provozní EBITDA.</w:t>
      </w:r>
    </w:p>
    <w:p w14:paraId="56790255" w14:textId="3D09CC7B" w:rsidR="00356716" w:rsidRPr="00356716" w:rsidRDefault="00356716" w:rsidP="00356716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A0F0A"/>
          <w:highlight w:val="white"/>
          <w:lang w:val="cs-CZ"/>
        </w:rPr>
      </w:pPr>
      <w:r w:rsidRPr="00356716">
        <w:rPr>
          <w:color w:val="0A0F0A"/>
          <w:highlight w:val="white"/>
          <w:lang w:val="cs-CZ"/>
        </w:rPr>
        <w:t>„V roce 2025 jsme dosáhli dalšího úspěšného zvýšení ziskovosti,“ uvádí Dr. Alexander Blum, CFO společnosti Koenig &amp; Bauer. „Pozitivní začátek roku zároveň potvrzuje naši vysokou odolnost: solidní stav zakázek spolu s dobrým objemem nov</w:t>
      </w:r>
      <w:r w:rsidR="003B05E0">
        <w:rPr>
          <w:color w:val="0A0F0A"/>
          <w:highlight w:val="white"/>
          <w:lang w:val="cs-CZ"/>
        </w:rPr>
        <w:t>ých</w:t>
      </w:r>
      <w:r w:rsidRPr="00356716">
        <w:rPr>
          <w:color w:val="0A0F0A"/>
          <w:highlight w:val="white"/>
          <w:lang w:val="cs-CZ"/>
        </w:rPr>
        <w:t xml:space="preserve"> </w:t>
      </w:r>
      <w:r w:rsidR="003B05E0">
        <w:rPr>
          <w:color w:val="0A0F0A"/>
          <w:highlight w:val="white"/>
          <w:lang w:val="cs-CZ"/>
        </w:rPr>
        <w:t>objednávek</w:t>
      </w:r>
      <w:r w:rsidRPr="00356716">
        <w:rPr>
          <w:color w:val="0A0F0A"/>
          <w:highlight w:val="white"/>
          <w:lang w:val="cs-CZ"/>
        </w:rPr>
        <w:t xml:space="preserve"> v prvním čtvrtletí 2026, který převyšuje úroveň předchozího roku, zajišťuje dosažení našich cílů pro aktuální obchodní rok.“</w:t>
      </w:r>
    </w:p>
    <w:p w14:paraId="7B5B6BD7" w14:textId="77777777" w:rsidR="00356716" w:rsidRPr="00356716" w:rsidRDefault="00356716" w:rsidP="00356716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A0F0A"/>
          <w:highlight w:val="white"/>
          <w:lang w:val="cs-CZ"/>
        </w:rPr>
      </w:pPr>
      <w:r w:rsidRPr="00356716">
        <w:rPr>
          <w:color w:val="0A0F0A"/>
          <w:highlight w:val="white"/>
          <w:lang w:val="cs-CZ"/>
        </w:rPr>
        <w:t>Za předpokladu, že globální ekonomický vývoj na relevantních trzích zůstane stabilní a v dohledné době bude jasno ohledně možných dovozních cel USA, představenstvo očekává v roce 2026 konsolidovaný obrat na úrovni předchozího roku a provozní EBITDA přibližně 80 mil. €, stejně jako v roce 2025. Prognóza vychází ze stabilních tržeb a mírně nižší provozní EBITDA v segmentu P&amp;P. U segmentu S&amp;T se očekává výrazně rostoucí příspěvek k tržbám i výsledku, podpořený rozšiřováním nových oblastí podnikání a stabilním vytížením v oblasti cenných papírů. Prognóza předpokládá, že nedojde k dalšímu významnému zhoršení globálního investičního klimatu v důsledku přetrvávajících geopolitických napětí.</w:t>
      </w:r>
    </w:p>
    <w:p w14:paraId="41676F0D" w14:textId="4DC21EDE" w:rsidR="009D33CC" w:rsidRPr="008430D1" w:rsidRDefault="00A5762F">
      <w:pPr>
        <w:rPr>
          <w:lang w:val="pt-BR"/>
        </w:rPr>
      </w:pPr>
      <w:hyperlink r:id="rId7" w:history="1">
        <w:r w:rsidRPr="008430D1">
          <w:rPr>
            <w:rStyle w:val="Hypertextovodkaz"/>
            <w:lang w:val="pt-BR"/>
          </w:rPr>
          <w:t>Čísla v kostce</w:t>
        </w:r>
      </w:hyperlink>
    </w:p>
    <w:p w14:paraId="381C20B0" w14:textId="7285ED05" w:rsidR="009D33CC" w:rsidRDefault="00A5762F">
      <w:pPr>
        <w:rPr>
          <w:lang w:val="pt-BR"/>
        </w:rPr>
      </w:pPr>
      <w:r w:rsidRPr="008430D1">
        <w:rPr>
          <w:lang w:val="pt-BR"/>
        </w:rPr>
        <w:t xml:space="preserve">Výroční zpráva za rok 2025 je k dispozici ke stažení ve formátu PDF </w:t>
      </w:r>
      <w:r>
        <w:fldChar w:fldCharType="begin"/>
      </w:r>
      <w:r w:rsidR="00165255" w:rsidRPr="00165255">
        <w:rPr>
          <w:lang w:val="cs-CZ"/>
        </w:rPr>
        <w:instrText>HYPERLINK "https://investors.koenig-bauer.com/fileadmin/user_upload/04_Unternehmen/Investor_Relations/Berichte/Berichte_2025_GB/26-03-26-ir-annual-report-2025-en.pdf"</w:instrText>
      </w:r>
      <w:r>
        <w:fldChar w:fldCharType="separate"/>
      </w:r>
      <w:r w:rsidRPr="008430D1">
        <w:rPr>
          <w:rStyle w:val="Hypertextovodkaz"/>
          <w:lang w:val="pt-BR"/>
        </w:rPr>
        <w:t>zde</w:t>
      </w:r>
      <w:r>
        <w:fldChar w:fldCharType="end"/>
      </w:r>
      <w:r w:rsidRPr="008430D1">
        <w:rPr>
          <w:lang w:val="pt-BR"/>
        </w:rPr>
        <w:t>.</w:t>
      </w:r>
    </w:p>
    <w:p w14:paraId="618EE47B" w14:textId="77777777" w:rsidR="00121175" w:rsidRDefault="00121175">
      <w:pPr>
        <w:rPr>
          <w:lang w:val="pt-BR"/>
        </w:rPr>
      </w:pPr>
    </w:p>
    <w:p w14:paraId="51ACA492" w14:textId="77777777" w:rsidR="00121175" w:rsidRDefault="00121175">
      <w:pPr>
        <w:rPr>
          <w:lang w:val="pt-BR"/>
        </w:rPr>
      </w:pPr>
    </w:p>
    <w:p w14:paraId="0FCF6200" w14:textId="77777777" w:rsidR="00121175" w:rsidRDefault="00121175">
      <w:pPr>
        <w:rPr>
          <w:lang w:val="pt-BR"/>
        </w:rPr>
      </w:pPr>
    </w:p>
    <w:p w14:paraId="754549F0" w14:textId="77777777" w:rsidR="00121175" w:rsidRPr="008430D1" w:rsidRDefault="00121175">
      <w:pPr>
        <w:rPr>
          <w:lang w:val="pt-BR"/>
        </w:rPr>
      </w:pPr>
    </w:p>
    <w:p w14:paraId="2A1EC70C" w14:textId="77777777" w:rsidR="009D33CC" w:rsidRPr="008430D1" w:rsidRDefault="00A5762F">
      <w:pPr>
        <w:pStyle w:val="Nadpis5"/>
        <w:rPr>
          <w:lang w:val="pt-BR"/>
        </w:rPr>
      </w:pPr>
      <w:bookmarkStart w:id="2" w:name="_2et92p0" w:colFirst="0" w:colLast="0"/>
      <w:bookmarkEnd w:id="2"/>
      <w:r w:rsidRPr="008430D1">
        <w:rPr>
          <w:lang w:val="pt-BR"/>
        </w:rPr>
        <w:lastRenderedPageBreak/>
        <w:t>Foto:</w:t>
      </w:r>
    </w:p>
    <w:p w14:paraId="34849059" w14:textId="77777777" w:rsidR="00121175" w:rsidRDefault="00A5762F" w:rsidP="00433362">
      <w:pPr>
        <w:spacing w:after="0"/>
        <w:rPr>
          <w:lang w:val="pt-BR"/>
        </w:rPr>
      </w:pPr>
      <w:r w:rsidRPr="008430D1">
        <w:rPr>
          <w:b/>
          <w:bCs/>
          <w:lang w:val="pt-BR"/>
        </w:rPr>
        <w:t xml:space="preserve">Vytváření standardů s „IMPACT“: </w:t>
      </w:r>
      <w:r w:rsidR="00F57F57" w:rsidRPr="00F57F57">
        <w:rPr>
          <w:lang w:val="pt-BR"/>
        </w:rPr>
        <w:t>Společnost Koenig &amp; Bauer zveřejňuje roční výsledky v osvědčeném modulárním formátu. Komplexní koncept sestávající z podrobné výroční zprávy, digitální verze a kompaktního shrnutí ve speciálně vyrobeném obalu se letos zaměřuje na nový strategický rámec „IMPACT“. Koule ztělesňuje sjednocující princip koncernu: společnost Koenig &amp; Bauer není nikdy statická, ale neustále v pohybu. Koule představuje schopnost přijímat síly, převádět je do dynamiky a vytvářet skutečný, měřitelný „IMPACT“ pro zákazníky a akcionáře.</w:t>
      </w:r>
    </w:p>
    <w:p w14:paraId="07EE3CD4" w14:textId="77777777" w:rsidR="00121175" w:rsidRDefault="00A5762F" w:rsidP="00121175">
      <w:r>
        <w:t>© Koenig &amp; Bauer</w:t>
      </w:r>
      <w:r>
        <w:br/>
      </w:r>
      <w:bookmarkStart w:id="3" w:name="_c398knssqtt8" w:colFirst="0" w:colLast="0"/>
      <w:bookmarkEnd w:id="3"/>
    </w:p>
    <w:p w14:paraId="5C8B0C74" w14:textId="600DAE8D" w:rsidR="009D33CC" w:rsidRPr="00433362" w:rsidRDefault="00A5762F" w:rsidP="00433362">
      <w:pPr>
        <w:spacing w:after="0"/>
        <w:rPr>
          <w:b/>
          <w:bCs/>
        </w:rPr>
      </w:pPr>
      <w:proofErr w:type="spellStart"/>
      <w:r w:rsidRPr="00433362">
        <w:rPr>
          <w:b/>
          <w:bCs/>
        </w:rPr>
        <w:t>Kontaktní</w:t>
      </w:r>
      <w:proofErr w:type="spellEnd"/>
      <w:r w:rsidRPr="00433362">
        <w:rPr>
          <w:b/>
          <w:bCs/>
        </w:rPr>
        <w:t xml:space="preserve"> </w:t>
      </w:r>
      <w:proofErr w:type="spellStart"/>
      <w:r w:rsidRPr="00433362">
        <w:rPr>
          <w:b/>
          <w:bCs/>
        </w:rPr>
        <w:t>osoba</w:t>
      </w:r>
      <w:proofErr w:type="spellEnd"/>
      <w:r w:rsidRPr="00433362">
        <w:rPr>
          <w:b/>
          <w:bCs/>
        </w:rPr>
        <w:t xml:space="preserve"> pro </w:t>
      </w:r>
      <w:proofErr w:type="spellStart"/>
      <w:r w:rsidRPr="00433362">
        <w:rPr>
          <w:b/>
          <w:bCs/>
        </w:rPr>
        <w:t>vztahy</w:t>
      </w:r>
      <w:proofErr w:type="spellEnd"/>
      <w:r w:rsidRPr="00433362">
        <w:rPr>
          <w:b/>
          <w:bCs/>
        </w:rPr>
        <w:t xml:space="preserve"> s </w:t>
      </w:r>
      <w:proofErr w:type="spellStart"/>
      <w:r w:rsidRPr="00433362">
        <w:rPr>
          <w:b/>
          <w:bCs/>
        </w:rPr>
        <w:t>investory</w:t>
      </w:r>
      <w:proofErr w:type="spellEnd"/>
    </w:p>
    <w:p w14:paraId="5D69A1DE" w14:textId="77777777" w:rsidR="009D33CC" w:rsidRDefault="00A5762F">
      <w:r>
        <w:t>Koenig &amp; Bauer AG</w:t>
      </w:r>
      <w:r>
        <w:br/>
        <w:t>Lena Landenberger</w:t>
      </w:r>
      <w:r>
        <w:br/>
        <w:t>+49 931 909 4085</w:t>
      </w:r>
      <w:r>
        <w:br/>
      </w:r>
      <w:hyperlink r:id="rId8">
        <w:r>
          <w:rPr>
            <w:color w:val="1155CC"/>
            <w:u w:val="single"/>
          </w:rPr>
          <w:t>lena.landenberger@koenig-bauer.com</w:t>
        </w:r>
      </w:hyperlink>
    </w:p>
    <w:p w14:paraId="3873B8C9" w14:textId="77777777" w:rsidR="009D33CC" w:rsidRDefault="00A5762F">
      <w:pPr>
        <w:pStyle w:val="Nadpis4"/>
      </w:pPr>
      <w:bookmarkStart w:id="4" w:name="_9rn9atyzc5pa" w:colFirst="0" w:colLast="0"/>
      <w:bookmarkEnd w:id="4"/>
      <w:proofErr w:type="spellStart"/>
      <w:r>
        <w:t>Kontaktní</w:t>
      </w:r>
      <w:proofErr w:type="spellEnd"/>
      <w:r>
        <w:t xml:space="preserve"> </w:t>
      </w:r>
      <w:proofErr w:type="spellStart"/>
      <w:r>
        <w:t>osoba</w:t>
      </w:r>
      <w:proofErr w:type="spellEnd"/>
      <w:r>
        <w:t xml:space="preserve"> pro </w:t>
      </w:r>
      <w:proofErr w:type="spellStart"/>
      <w:r>
        <w:t>tisk</w:t>
      </w:r>
      <w:proofErr w:type="spellEnd"/>
    </w:p>
    <w:p w14:paraId="4A84C984" w14:textId="77777777" w:rsidR="009D33CC" w:rsidRDefault="00A5762F">
      <w:r>
        <w:t>Koenig &amp; Bauer AG</w:t>
      </w:r>
      <w:r>
        <w:br/>
        <w:t>Dagmar Ringel</w:t>
      </w:r>
      <w:r>
        <w:br/>
        <w:t>+49 931 909 6756</w:t>
      </w:r>
      <w:r>
        <w:br/>
      </w:r>
      <w:hyperlink r:id="rId9">
        <w:r>
          <w:rPr>
            <w:color w:val="1155CC"/>
            <w:u w:val="single"/>
          </w:rPr>
          <w:t>dagmar.ringel@koenig-bauer.com</w:t>
        </w:r>
      </w:hyperlink>
    </w:p>
    <w:p w14:paraId="6333A644" w14:textId="77777777" w:rsidR="009D33CC" w:rsidRDefault="00A5762F">
      <w:pPr>
        <w:shd w:val="clear" w:color="auto" w:fill="FFFFFF"/>
        <w:spacing w:before="240" w:line="250" w:lineRule="auto"/>
      </w:pPr>
      <w:r>
        <w:t xml:space="preserve"> </w:t>
      </w:r>
    </w:p>
    <w:p w14:paraId="4F7E6C53" w14:textId="77777777" w:rsidR="009D33CC" w:rsidRDefault="00A5762F">
      <w:pPr>
        <w:pStyle w:val="Nadpis4"/>
      </w:pPr>
      <w:bookmarkStart w:id="5" w:name="_1wxqedid8pv3" w:colFirst="0" w:colLast="0"/>
      <w:bookmarkEnd w:id="5"/>
      <w:r>
        <w:t xml:space="preserve">O </w:t>
      </w:r>
      <w:proofErr w:type="spellStart"/>
      <w:r>
        <w:t>společnosti</w:t>
      </w:r>
      <w:proofErr w:type="spellEnd"/>
      <w:r>
        <w:t xml:space="preserve"> Koenig &amp; Bauer</w:t>
      </w:r>
    </w:p>
    <w:p w14:paraId="1EB3A468" w14:textId="7C7C29AF" w:rsidR="00BF3737" w:rsidRPr="00BF3737" w:rsidRDefault="00BF3737" w:rsidP="00BF3737">
      <w:pPr>
        <w:rPr>
          <w:lang w:val="cs-CZ"/>
        </w:rPr>
      </w:pPr>
      <w:r w:rsidRPr="00BF3737">
        <w:rPr>
          <w:lang w:val="cs-CZ"/>
        </w:rPr>
        <w:t xml:space="preserve">Koenig &amp; Bauer, se sídlem ve </w:t>
      </w:r>
      <w:proofErr w:type="spellStart"/>
      <w:r w:rsidRPr="00BF3737">
        <w:rPr>
          <w:lang w:val="cs-CZ"/>
        </w:rPr>
        <w:t>Würzburgu</w:t>
      </w:r>
      <w:proofErr w:type="spellEnd"/>
      <w:r w:rsidRPr="00BF3737">
        <w:rPr>
          <w:lang w:val="cs-CZ"/>
        </w:rPr>
        <w:t xml:space="preserve"> (Německo), je globální výrobce tiskových strojů a softwarových řešení pro celý proces tisku a zpracování, se zvláštním zaměřením na obalový sektor. Zařízení společnosti dokážou potisknout téměř všechny typy substrátů – portfolio zahrnuje bankovky, kartonové, vlnité, fóliové, plechové a skleněné obaly, stejně jako tisk knih, displejů, označení, dekorů, časopisů, reklamy a novin. S více než 200letou historií je Koenig &amp; Bauer nejstarším výrobcem tiskových strojů na světě a dnes ovládá téměř všechny tiskové technologie. Koncern zaměstnává přibližně 5 </w:t>
      </w:r>
      <w:r w:rsidR="00507272">
        <w:rPr>
          <w:lang w:val="cs-CZ"/>
        </w:rPr>
        <w:t>5</w:t>
      </w:r>
      <w:r w:rsidRPr="00BF3737">
        <w:rPr>
          <w:lang w:val="cs-CZ"/>
        </w:rPr>
        <w:t xml:space="preserve">00 pracovníků, vyrábí v jedenácti závodech v Evropě a disponuje celosvětovou sítí prodeje a servisu. </w:t>
      </w:r>
      <w:r w:rsidR="00507272">
        <w:rPr>
          <w:lang w:val="cs-CZ"/>
        </w:rPr>
        <w:t>Obrat</w:t>
      </w:r>
      <w:r w:rsidRPr="00BF3737">
        <w:rPr>
          <w:lang w:val="cs-CZ"/>
        </w:rPr>
        <w:t xml:space="preserve"> skupiny v obchodním roce 202</w:t>
      </w:r>
      <w:r w:rsidR="00507272">
        <w:rPr>
          <w:lang w:val="cs-CZ"/>
        </w:rPr>
        <w:t>5</w:t>
      </w:r>
      <w:r w:rsidRPr="00BF3737">
        <w:rPr>
          <w:lang w:val="cs-CZ"/>
        </w:rPr>
        <w:t xml:space="preserve"> činil přibližně 1,3 miliardy</w:t>
      </w:r>
      <w:r w:rsidR="00507272">
        <w:rPr>
          <w:lang w:val="cs-CZ"/>
        </w:rPr>
        <w:t xml:space="preserve"> </w:t>
      </w:r>
      <w:r w:rsidR="00507272" w:rsidRPr="000152AC">
        <w:rPr>
          <w:color w:val="0A0F0A"/>
          <w:highlight w:val="white"/>
          <w:lang w:val="cs-CZ"/>
        </w:rPr>
        <w:t>€</w:t>
      </w:r>
      <w:r w:rsidRPr="00BF3737">
        <w:rPr>
          <w:lang w:val="cs-CZ"/>
        </w:rPr>
        <w:t>.</w:t>
      </w:r>
    </w:p>
    <w:p w14:paraId="06B8E426" w14:textId="77777777" w:rsidR="009D33CC" w:rsidRPr="00507272" w:rsidRDefault="00A5762F">
      <w:pPr>
        <w:rPr>
          <w:lang w:val="cs-CZ"/>
        </w:rPr>
      </w:pPr>
      <w:r w:rsidRPr="00507272">
        <w:rPr>
          <w:lang w:val="cs-CZ"/>
        </w:rPr>
        <w:t>Další informace najdete na</w:t>
      </w:r>
      <w:hyperlink r:id="rId10">
        <w:r w:rsidRPr="00507272">
          <w:rPr>
            <w:color w:val="1155CC"/>
            <w:u w:val="single"/>
            <w:lang w:val="cs-CZ"/>
          </w:rPr>
          <w:t xml:space="preserve"> www.koenig-bauer.com</w:t>
        </w:r>
      </w:hyperlink>
    </w:p>
    <w:p w14:paraId="7E1543D8" w14:textId="77777777" w:rsidR="009D33CC" w:rsidRPr="00507272" w:rsidRDefault="009D33CC">
      <w:pPr>
        <w:rPr>
          <w:lang w:val="cs-CZ"/>
        </w:rPr>
      </w:pPr>
    </w:p>
    <w:sectPr w:rsidR="009D33CC" w:rsidRPr="00507272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35E71" w14:textId="77777777" w:rsidR="00E23CB2" w:rsidRDefault="00E23CB2">
      <w:pPr>
        <w:spacing w:after="0" w:line="240" w:lineRule="auto"/>
      </w:pPr>
      <w:r>
        <w:separator/>
      </w:r>
    </w:p>
  </w:endnote>
  <w:endnote w:type="continuationSeparator" w:id="0">
    <w:p w14:paraId="40258D66" w14:textId="77777777" w:rsidR="00E23CB2" w:rsidRDefault="00E23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B47E907-0EDC-4823-BDF7-CD8C353AB90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72E9562-69D1-424B-B261-F8EA95CC48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06A3F" w14:textId="1114DD83" w:rsidR="002E6B46" w:rsidRDefault="002F1874" w:rsidP="002E6B46">
    <w:pPr>
      <w:jc w:val="right"/>
    </w:pPr>
    <w:proofErr w:type="spellStart"/>
    <w:r>
      <w:rPr>
        <w:sz w:val="14"/>
        <w:szCs w:val="14"/>
      </w:rPr>
      <w:t>Přesné</w:t>
    </w:r>
    <w:proofErr w:type="spellEnd"/>
    <w:r>
      <w:rPr>
        <w:sz w:val="14"/>
        <w:szCs w:val="14"/>
      </w:rPr>
      <w:t xml:space="preserve"> </w:t>
    </w:r>
    <w:proofErr w:type="spellStart"/>
    <w:r>
      <w:rPr>
        <w:sz w:val="14"/>
        <w:szCs w:val="14"/>
      </w:rPr>
      <w:t>splnění</w:t>
    </w:r>
    <w:proofErr w:type="spellEnd"/>
    <w:r>
      <w:rPr>
        <w:sz w:val="14"/>
        <w:szCs w:val="14"/>
      </w:rPr>
      <w:t xml:space="preserve"> </w:t>
    </w:r>
    <w:proofErr w:type="spellStart"/>
    <w:r>
      <w:rPr>
        <w:sz w:val="14"/>
        <w:szCs w:val="14"/>
      </w:rPr>
      <w:t>cílů</w:t>
    </w:r>
    <w:proofErr w:type="spellEnd"/>
    <w:r>
      <w:rPr>
        <w:sz w:val="14"/>
        <w:szCs w:val="14"/>
      </w:rPr>
      <w:t xml:space="preserve"> </w:t>
    </w:r>
    <w:proofErr w:type="spellStart"/>
    <w:r>
      <w:rPr>
        <w:sz w:val="14"/>
        <w:szCs w:val="14"/>
      </w:rPr>
      <w:t>roku</w:t>
    </w:r>
    <w:proofErr w:type="spellEnd"/>
    <w:r>
      <w:rPr>
        <w:sz w:val="14"/>
        <w:szCs w:val="14"/>
      </w:rPr>
      <w:t xml:space="preserve"> </w:t>
    </w:r>
    <w:r w:rsidR="00A5762F">
      <w:rPr>
        <w:sz w:val="14"/>
        <w:szCs w:val="14"/>
      </w:rPr>
      <w:t xml:space="preserve">2025 a </w:t>
    </w:r>
    <w:proofErr w:type="spellStart"/>
    <w:r>
      <w:rPr>
        <w:sz w:val="14"/>
        <w:szCs w:val="14"/>
      </w:rPr>
      <w:t>úspěšný</w:t>
    </w:r>
    <w:proofErr w:type="spellEnd"/>
    <w:r>
      <w:rPr>
        <w:sz w:val="14"/>
        <w:szCs w:val="14"/>
      </w:rPr>
      <w:t xml:space="preserve"> </w:t>
    </w:r>
    <w:proofErr w:type="spellStart"/>
    <w:r>
      <w:rPr>
        <w:sz w:val="14"/>
        <w:szCs w:val="14"/>
      </w:rPr>
      <w:t>vstup</w:t>
    </w:r>
    <w:proofErr w:type="spellEnd"/>
    <w:r w:rsidR="00A5762F">
      <w:rPr>
        <w:sz w:val="14"/>
        <w:szCs w:val="14"/>
      </w:rPr>
      <w:t xml:space="preserve"> do </w:t>
    </w:r>
    <w:proofErr w:type="spellStart"/>
    <w:r w:rsidR="00A5762F">
      <w:rPr>
        <w:sz w:val="14"/>
        <w:szCs w:val="14"/>
      </w:rPr>
      <w:t>roku</w:t>
    </w:r>
    <w:proofErr w:type="spellEnd"/>
    <w:r w:rsidR="00A5762F">
      <w:rPr>
        <w:sz w:val="14"/>
        <w:szCs w:val="14"/>
      </w:rPr>
      <w:t xml:space="preserve"> 2026: </w:t>
    </w:r>
    <w:proofErr w:type="spellStart"/>
    <w:r w:rsidR="00A5762F">
      <w:rPr>
        <w:sz w:val="14"/>
        <w:szCs w:val="14"/>
      </w:rPr>
      <w:t>Společnost</w:t>
    </w:r>
    <w:proofErr w:type="spellEnd"/>
    <w:r w:rsidR="00A5762F">
      <w:rPr>
        <w:sz w:val="14"/>
        <w:szCs w:val="14"/>
      </w:rPr>
      <w:t xml:space="preserve"> Koenig &amp; Bauer </w:t>
    </w:r>
    <w:proofErr w:type="spellStart"/>
    <w:r>
      <w:rPr>
        <w:sz w:val="14"/>
        <w:szCs w:val="14"/>
      </w:rPr>
      <w:t>na</w:t>
    </w:r>
    <w:r w:rsidR="00A5762F">
      <w:rPr>
        <w:sz w:val="14"/>
        <w:szCs w:val="14"/>
      </w:rPr>
      <w:t>plnila</w:t>
    </w:r>
    <w:proofErr w:type="spellEnd"/>
    <w:r w:rsidR="00A5762F">
      <w:rPr>
        <w:sz w:val="14"/>
        <w:szCs w:val="14"/>
      </w:rPr>
      <w:t xml:space="preserve"> </w:t>
    </w:r>
    <w:proofErr w:type="spellStart"/>
    <w:r w:rsidR="00A5762F">
      <w:rPr>
        <w:sz w:val="14"/>
        <w:szCs w:val="14"/>
      </w:rPr>
      <w:t>roční</w:t>
    </w:r>
    <w:proofErr w:type="spellEnd"/>
    <w:r w:rsidR="00A5762F">
      <w:rPr>
        <w:sz w:val="14"/>
        <w:szCs w:val="14"/>
      </w:rPr>
      <w:t xml:space="preserve"> </w:t>
    </w:r>
    <w:proofErr w:type="spellStart"/>
    <w:r w:rsidR="00A5762F">
      <w:rPr>
        <w:sz w:val="14"/>
        <w:szCs w:val="14"/>
      </w:rPr>
      <w:t>cíle</w:t>
    </w:r>
    <w:proofErr w:type="spellEnd"/>
    <w:r w:rsidR="00A5762F">
      <w:rPr>
        <w:sz w:val="14"/>
        <w:szCs w:val="14"/>
      </w:rPr>
      <w:t xml:space="preserve">, </w:t>
    </w:r>
    <w:r w:rsidR="00A5762F">
      <w:rPr>
        <w:sz w:val="14"/>
        <w:szCs w:val="14"/>
      </w:rPr>
      <w:br/>
    </w:r>
    <w:proofErr w:type="spellStart"/>
    <w:r>
      <w:rPr>
        <w:sz w:val="14"/>
        <w:szCs w:val="14"/>
      </w:rPr>
      <w:t>zvýšila</w:t>
    </w:r>
    <w:proofErr w:type="spellEnd"/>
    <w:r>
      <w:rPr>
        <w:sz w:val="14"/>
        <w:szCs w:val="14"/>
      </w:rPr>
      <w:t xml:space="preserve"> </w:t>
    </w:r>
    <w:proofErr w:type="spellStart"/>
    <w:r>
      <w:rPr>
        <w:sz w:val="14"/>
        <w:szCs w:val="14"/>
      </w:rPr>
      <w:t>ob</w:t>
    </w:r>
    <w:r w:rsidR="00A5762F">
      <w:rPr>
        <w:sz w:val="14"/>
        <w:szCs w:val="14"/>
      </w:rPr>
      <w:t>jem</w:t>
    </w:r>
    <w:proofErr w:type="spellEnd"/>
    <w:r w:rsidR="00A5762F">
      <w:rPr>
        <w:sz w:val="14"/>
        <w:szCs w:val="14"/>
      </w:rPr>
      <w:t xml:space="preserve"> </w:t>
    </w:r>
    <w:proofErr w:type="spellStart"/>
    <w:r w:rsidR="00A5762F">
      <w:rPr>
        <w:sz w:val="14"/>
        <w:szCs w:val="14"/>
      </w:rPr>
      <w:t>přijatých</w:t>
    </w:r>
    <w:proofErr w:type="spellEnd"/>
    <w:r w:rsidR="00A5762F">
      <w:rPr>
        <w:sz w:val="14"/>
        <w:szCs w:val="14"/>
      </w:rPr>
      <w:t xml:space="preserve"> </w:t>
    </w:r>
    <w:proofErr w:type="spellStart"/>
    <w:r w:rsidR="00A5762F">
      <w:rPr>
        <w:sz w:val="14"/>
        <w:szCs w:val="14"/>
      </w:rPr>
      <w:t>zakázek</w:t>
    </w:r>
    <w:proofErr w:type="spellEnd"/>
    <w:r>
      <w:rPr>
        <w:sz w:val="14"/>
        <w:szCs w:val="14"/>
      </w:rPr>
      <w:t xml:space="preserve"> v </w:t>
    </w:r>
    <w:proofErr w:type="spellStart"/>
    <w:r>
      <w:rPr>
        <w:sz w:val="14"/>
        <w:szCs w:val="14"/>
      </w:rPr>
      <w:t>prvním</w:t>
    </w:r>
    <w:proofErr w:type="spellEnd"/>
    <w:r>
      <w:rPr>
        <w:sz w:val="14"/>
        <w:szCs w:val="14"/>
      </w:rPr>
      <w:t xml:space="preserve"> </w:t>
    </w:r>
    <w:proofErr w:type="spellStart"/>
    <w:r>
      <w:rPr>
        <w:sz w:val="14"/>
        <w:szCs w:val="14"/>
      </w:rPr>
      <w:t>čtvrtletí</w:t>
    </w:r>
    <w:proofErr w:type="spellEnd"/>
    <w:r w:rsidR="00A5762F">
      <w:rPr>
        <w:sz w:val="14"/>
        <w:szCs w:val="14"/>
      </w:rPr>
      <w:t xml:space="preserve"> a s </w:t>
    </w:r>
    <w:proofErr w:type="spellStart"/>
    <w:r>
      <w:rPr>
        <w:sz w:val="14"/>
        <w:szCs w:val="14"/>
      </w:rPr>
      <w:t>programem</w:t>
    </w:r>
    <w:proofErr w:type="spellEnd"/>
    <w:r>
      <w:rPr>
        <w:sz w:val="14"/>
        <w:szCs w:val="14"/>
      </w:rPr>
      <w:t xml:space="preserve"> </w:t>
    </w:r>
    <w:r w:rsidR="00A5762F">
      <w:rPr>
        <w:sz w:val="14"/>
        <w:szCs w:val="14"/>
      </w:rPr>
      <w:t xml:space="preserve">„IMPACT“ </w:t>
    </w:r>
    <w:proofErr w:type="spellStart"/>
    <w:r w:rsidR="00A5762F">
      <w:rPr>
        <w:sz w:val="14"/>
        <w:szCs w:val="14"/>
      </w:rPr>
      <w:t>vstupuje</w:t>
    </w:r>
    <w:proofErr w:type="spellEnd"/>
    <w:r w:rsidR="00A5762F">
      <w:rPr>
        <w:sz w:val="14"/>
        <w:szCs w:val="14"/>
      </w:rPr>
      <w:t xml:space="preserve"> do </w:t>
    </w:r>
    <w:proofErr w:type="spellStart"/>
    <w:r w:rsidR="00A5762F">
      <w:rPr>
        <w:sz w:val="14"/>
        <w:szCs w:val="14"/>
      </w:rPr>
      <w:t>nové</w:t>
    </w:r>
    <w:proofErr w:type="spellEnd"/>
    <w:r w:rsidR="00A5762F">
      <w:rPr>
        <w:sz w:val="14"/>
        <w:szCs w:val="14"/>
      </w:rPr>
      <w:t xml:space="preserve"> éry | </w:t>
    </w:r>
    <w:r w:rsidR="00A5762F">
      <w:rPr>
        <w:sz w:val="14"/>
        <w:szCs w:val="14"/>
      </w:rPr>
      <w:fldChar w:fldCharType="begin"/>
    </w:r>
    <w:r w:rsidR="00A5762F">
      <w:rPr>
        <w:sz w:val="14"/>
        <w:szCs w:val="14"/>
      </w:rPr>
      <w:instrText>PAGE</w:instrText>
    </w:r>
    <w:r w:rsidR="00A5762F">
      <w:rPr>
        <w:sz w:val="14"/>
        <w:szCs w:val="14"/>
      </w:rPr>
      <w:fldChar w:fldCharType="separate"/>
    </w:r>
    <w:r w:rsidR="00A5762F">
      <w:rPr>
        <w:noProof/>
        <w:sz w:val="14"/>
        <w:szCs w:val="14"/>
      </w:rPr>
      <w:t>1</w:t>
    </w:r>
    <w:r w:rsidR="00A5762F">
      <w:rPr>
        <w:sz w:val="14"/>
        <w:szCs w:val="14"/>
      </w:rPr>
      <w:fldChar w:fldCharType="end"/>
    </w:r>
    <w:r w:rsidR="002E6B46" w:rsidRPr="002E6B46">
      <w:rPr>
        <w:sz w:val="14"/>
        <w:szCs w:val="14"/>
      </w:rPr>
      <w:t xml:space="preserve"> </w:t>
    </w:r>
  </w:p>
  <w:p w14:paraId="3F269C7F" w14:textId="11B8A2EB" w:rsidR="009D33CC" w:rsidRDefault="009D33CC">
    <w:pPr>
      <w:jc w:val="right"/>
    </w:pPr>
  </w:p>
  <w:p w14:paraId="474E9C23" w14:textId="77777777" w:rsidR="009D33CC" w:rsidRDefault="009D33C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B7B38" w14:textId="77777777" w:rsidR="00E23CB2" w:rsidRDefault="00E23CB2">
      <w:pPr>
        <w:spacing w:after="0" w:line="240" w:lineRule="auto"/>
      </w:pPr>
      <w:r>
        <w:separator/>
      </w:r>
    </w:p>
  </w:footnote>
  <w:footnote w:type="continuationSeparator" w:id="0">
    <w:p w14:paraId="3130700F" w14:textId="77777777" w:rsidR="00E23CB2" w:rsidRDefault="00E23C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C0D08" w14:textId="77777777" w:rsidR="009D33CC" w:rsidRDefault="00A5762F">
    <w:pPr>
      <w:jc w:val="center"/>
    </w:pPr>
    <w:r>
      <w:rPr>
        <w:noProof/>
        <w:lang w:val="de-DE"/>
      </w:rPr>
      <w:drawing>
        <wp:inline distT="114300" distB="114300" distL="114300" distR="114300" wp14:anchorId="460687CE" wp14:editId="0394CE8B">
          <wp:extent cx="2592000" cy="21846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92000" cy="2184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A0F22"/>
    <w:multiLevelType w:val="multilevel"/>
    <w:tmpl w:val="6E7C2C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7046469"/>
    <w:multiLevelType w:val="hybridMultilevel"/>
    <w:tmpl w:val="D6F044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DC42F0"/>
    <w:multiLevelType w:val="multilevel"/>
    <w:tmpl w:val="865AC910"/>
    <w:lvl w:ilvl="0">
      <w:start w:val="1"/>
      <w:numFmt w:val="bullet"/>
      <w:lvlText w:val="•"/>
      <w:lvlJc w:val="left"/>
      <w:pPr>
        <w:ind w:left="340" w:hanging="340"/>
      </w:pPr>
      <w:rPr>
        <w:u w:val="none"/>
      </w:rPr>
    </w:lvl>
    <w:lvl w:ilvl="1">
      <w:start w:val="1"/>
      <w:numFmt w:val="bullet"/>
      <w:lvlText w:val="•"/>
      <w:lvlJc w:val="left"/>
      <w:pPr>
        <w:ind w:left="680" w:hanging="340"/>
      </w:pPr>
      <w:rPr>
        <w:u w:val="none"/>
      </w:rPr>
    </w:lvl>
    <w:lvl w:ilvl="2">
      <w:start w:val="1"/>
      <w:numFmt w:val="bullet"/>
      <w:lvlText w:val="•"/>
      <w:lvlJc w:val="left"/>
      <w:pPr>
        <w:ind w:left="1020" w:hanging="340"/>
      </w:pPr>
      <w:rPr>
        <w:u w:val="none"/>
      </w:rPr>
    </w:lvl>
    <w:lvl w:ilvl="3">
      <w:start w:val="1"/>
      <w:numFmt w:val="bullet"/>
      <w:lvlText w:val="•"/>
      <w:lvlJc w:val="left"/>
      <w:pPr>
        <w:ind w:left="1360" w:hanging="340"/>
      </w:pPr>
      <w:rPr>
        <w:u w:val="none"/>
      </w:rPr>
    </w:lvl>
    <w:lvl w:ilvl="4">
      <w:start w:val="1"/>
      <w:numFmt w:val="bullet"/>
      <w:lvlText w:val="•"/>
      <w:lvlJc w:val="left"/>
      <w:pPr>
        <w:ind w:left="1700" w:hanging="340"/>
      </w:pPr>
      <w:rPr>
        <w:u w:val="none"/>
      </w:rPr>
    </w:lvl>
    <w:lvl w:ilvl="5">
      <w:start w:val="1"/>
      <w:numFmt w:val="bullet"/>
      <w:lvlText w:val="•"/>
      <w:lvlJc w:val="left"/>
      <w:pPr>
        <w:ind w:left="2040" w:hanging="340"/>
      </w:pPr>
      <w:rPr>
        <w:u w:val="none"/>
      </w:rPr>
    </w:lvl>
    <w:lvl w:ilvl="6">
      <w:start w:val="1"/>
      <w:numFmt w:val="bullet"/>
      <w:lvlText w:val="•"/>
      <w:lvlJc w:val="left"/>
      <w:pPr>
        <w:ind w:left="2380" w:hanging="340"/>
      </w:pPr>
      <w:rPr>
        <w:u w:val="none"/>
      </w:rPr>
    </w:lvl>
    <w:lvl w:ilvl="7">
      <w:start w:val="1"/>
      <w:numFmt w:val="bullet"/>
      <w:lvlText w:val="•"/>
      <w:lvlJc w:val="left"/>
      <w:pPr>
        <w:ind w:left="2720" w:hanging="340"/>
      </w:pPr>
      <w:rPr>
        <w:u w:val="none"/>
      </w:rPr>
    </w:lvl>
    <w:lvl w:ilvl="8">
      <w:start w:val="1"/>
      <w:numFmt w:val="bullet"/>
      <w:lvlText w:val="•"/>
      <w:lvlJc w:val="left"/>
      <w:pPr>
        <w:ind w:left="3060" w:hanging="340"/>
      </w:pPr>
      <w:rPr>
        <w:u w:val="none"/>
      </w:rPr>
    </w:lvl>
  </w:abstractNum>
  <w:num w:numId="1" w16cid:durableId="1055541017">
    <w:abstractNumId w:val="2"/>
  </w:num>
  <w:num w:numId="2" w16cid:durableId="1411075874">
    <w:abstractNumId w:val="0"/>
  </w:num>
  <w:num w:numId="3" w16cid:durableId="453598632">
    <w:abstractNumId w:val="2"/>
  </w:num>
  <w:num w:numId="4" w16cid:durableId="17183585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3CC"/>
    <w:rsid w:val="000152AC"/>
    <w:rsid w:val="000609DA"/>
    <w:rsid w:val="000F76FB"/>
    <w:rsid w:val="00114544"/>
    <w:rsid w:val="00116488"/>
    <w:rsid w:val="00121175"/>
    <w:rsid w:val="001433F2"/>
    <w:rsid w:val="00165255"/>
    <w:rsid w:val="001A477B"/>
    <w:rsid w:val="00206434"/>
    <w:rsid w:val="00276FBA"/>
    <w:rsid w:val="0029590F"/>
    <w:rsid w:val="002E6B46"/>
    <w:rsid w:val="002F1874"/>
    <w:rsid w:val="002F332E"/>
    <w:rsid w:val="00331207"/>
    <w:rsid w:val="00356716"/>
    <w:rsid w:val="0038652C"/>
    <w:rsid w:val="003B05E0"/>
    <w:rsid w:val="003E06F9"/>
    <w:rsid w:val="00402D22"/>
    <w:rsid w:val="00403EE6"/>
    <w:rsid w:val="00433362"/>
    <w:rsid w:val="004537B0"/>
    <w:rsid w:val="00463B0A"/>
    <w:rsid w:val="004C1F45"/>
    <w:rsid w:val="004C70B0"/>
    <w:rsid w:val="004E46EB"/>
    <w:rsid w:val="004F60B9"/>
    <w:rsid w:val="00507272"/>
    <w:rsid w:val="00533B10"/>
    <w:rsid w:val="00545A06"/>
    <w:rsid w:val="00546859"/>
    <w:rsid w:val="005B4779"/>
    <w:rsid w:val="00664467"/>
    <w:rsid w:val="006771ED"/>
    <w:rsid w:val="006A1488"/>
    <w:rsid w:val="006D2FE8"/>
    <w:rsid w:val="007028D4"/>
    <w:rsid w:val="007333E2"/>
    <w:rsid w:val="0073447D"/>
    <w:rsid w:val="0073501B"/>
    <w:rsid w:val="00746324"/>
    <w:rsid w:val="0074782D"/>
    <w:rsid w:val="007B02B8"/>
    <w:rsid w:val="007D29EC"/>
    <w:rsid w:val="00804155"/>
    <w:rsid w:val="008430D1"/>
    <w:rsid w:val="00880063"/>
    <w:rsid w:val="00885A73"/>
    <w:rsid w:val="008C4C37"/>
    <w:rsid w:val="009313CD"/>
    <w:rsid w:val="00947AF0"/>
    <w:rsid w:val="00995F05"/>
    <w:rsid w:val="009D33CC"/>
    <w:rsid w:val="009E5256"/>
    <w:rsid w:val="00A108A3"/>
    <w:rsid w:val="00A55926"/>
    <w:rsid w:val="00A5762F"/>
    <w:rsid w:val="00AB7EB0"/>
    <w:rsid w:val="00AD6990"/>
    <w:rsid w:val="00AF76BE"/>
    <w:rsid w:val="00B14BC4"/>
    <w:rsid w:val="00B54693"/>
    <w:rsid w:val="00B9285A"/>
    <w:rsid w:val="00BF3737"/>
    <w:rsid w:val="00C72E6D"/>
    <w:rsid w:val="00C96124"/>
    <w:rsid w:val="00CA5D3E"/>
    <w:rsid w:val="00CE14C5"/>
    <w:rsid w:val="00D6722B"/>
    <w:rsid w:val="00D84BD8"/>
    <w:rsid w:val="00DB473F"/>
    <w:rsid w:val="00DF07C8"/>
    <w:rsid w:val="00E17D77"/>
    <w:rsid w:val="00E23CB2"/>
    <w:rsid w:val="00E40C04"/>
    <w:rsid w:val="00EA2CB3"/>
    <w:rsid w:val="00ED3D3E"/>
    <w:rsid w:val="00F4065D"/>
    <w:rsid w:val="00F57F57"/>
    <w:rsid w:val="00F65B77"/>
    <w:rsid w:val="00F67DED"/>
    <w:rsid w:val="00F77F45"/>
    <w:rsid w:val="00F800EB"/>
    <w:rsid w:val="00F9145F"/>
    <w:rsid w:val="00FC586E"/>
    <w:rsid w:val="00FE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DE2DA"/>
  <w15:docId w15:val="{B48C801F-14DC-4642-9673-13E2EDDE1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de" w:eastAsia="de-DE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tabs>
        <w:tab w:val="left" w:pos="850"/>
      </w:tabs>
      <w:spacing w:before="480" w:line="240" w:lineRule="auto"/>
      <w:outlineLvl w:val="0"/>
    </w:pPr>
    <w:rPr>
      <w:b/>
      <w:bCs/>
      <w:color w:val="002355"/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outlineLvl w:val="1"/>
    </w:pPr>
    <w:rPr>
      <w:b/>
      <w:bCs/>
      <w:color w:val="002355"/>
      <w:sz w:val="28"/>
      <w:szCs w:val="28"/>
    </w:rPr>
  </w:style>
  <w:style w:type="paragraph" w:styleId="Nadpis3">
    <w:name w:val="heading 3"/>
    <w:basedOn w:val="Normln"/>
    <w:next w:val="Normln"/>
    <w:pPr>
      <w:keepNext/>
      <w:keepLines/>
      <w:spacing w:after="0"/>
      <w:outlineLvl w:val="2"/>
    </w:pPr>
    <w:rPr>
      <w:b/>
      <w:bCs/>
      <w:color w:val="002355"/>
    </w:rPr>
  </w:style>
  <w:style w:type="paragraph" w:styleId="Nadpis4">
    <w:name w:val="heading 4"/>
    <w:basedOn w:val="Normln"/>
    <w:next w:val="Normln"/>
    <w:pPr>
      <w:keepNext/>
      <w:keepLines/>
      <w:spacing w:after="0"/>
      <w:outlineLvl w:val="3"/>
    </w:pPr>
    <w:rPr>
      <w:b/>
      <w:bCs/>
    </w:rPr>
  </w:style>
  <w:style w:type="paragraph" w:styleId="Nadpis5">
    <w:name w:val="heading 5"/>
    <w:basedOn w:val="Normln"/>
    <w:next w:val="Normln"/>
    <w:pPr>
      <w:keepNext/>
      <w:keepLines/>
      <w:spacing w:after="0"/>
      <w:outlineLvl w:val="4"/>
    </w:pPr>
    <w:rPr>
      <w:b/>
      <w:bCs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line="240" w:lineRule="auto"/>
    </w:pPr>
    <w:rPr>
      <w:color w:val="002355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A5762F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356716"/>
    <w:rPr>
      <w:rFonts w:ascii="Times New Roman" w:hAnsi="Times New Roman"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2E6B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E6B46"/>
  </w:style>
  <w:style w:type="paragraph" w:styleId="Zpat">
    <w:name w:val="footer"/>
    <w:basedOn w:val="Normln"/>
    <w:link w:val="ZpatChar"/>
    <w:uiPriority w:val="99"/>
    <w:unhideWhenUsed/>
    <w:rsid w:val="002E6B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E6B46"/>
  </w:style>
  <w:style w:type="character" w:styleId="Sledovanodkaz">
    <w:name w:val="FollowedHyperlink"/>
    <w:basedOn w:val="Standardnpsmoodstavce"/>
    <w:uiPriority w:val="99"/>
    <w:semiHidden/>
    <w:unhideWhenUsed/>
    <w:rsid w:val="00165255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885A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landenberger@koenig-bauer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nvestors.koenig-bauer.com/fileadmin/user_upload/04_Unternehmen/Investor_Relations/Berichte/Berichte_2025_GB/26-03-26-ir-group-key-figures-for-the-2025-financial-year-en.pdf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koenig-bauer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ena.landenberger@koenig-bauer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1485</Words>
  <Characters>8762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KOENIG &amp; BAUER AG</Company>
  <LinksUpToDate>false</LinksUpToDate>
  <CharactersWithSpaces>10227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keywords>, docId:0965AFAC38CD74F98F151F09A6F30ED6</cp:keywords>
  <cp:lastModifiedBy>Stanislav Vaníček</cp:lastModifiedBy>
  <cp:revision>5</cp:revision>
  <dcterms:created xsi:type="dcterms:W3CDTF">2026-03-29T21:56:00Z</dcterms:created>
  <dcterms:modified xsi:type="dcterms:W3CDTF">2026-03-29T22:09:00Z</dcterms:modified>
</cp:coreProperties>
</file>