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8EDC" w14:textId="77777777" w:rsidR="00E82272" w:rsidRPr="003B2B8C" w:rsidRDefault="003B2B8C">
      <w:pPr>
        <w:pStyle w:val="Nzev"/>
        <w:rPr>
          <w:lang w:val="cs-CZ"/>
        </w:rPr>
      </w:pPr>
      <w:bookmarkStart w:id="0" w:name="_gjdgxs" w:colFirst="0" w:colLast="0"/>
      <w:bookmarkEnd w:id="0"/>
      <w:r w:rsidRPr="003B2B8C">
        <w:rPr>
          <w:lang w:val="cs-CZ"/>
        </w:rPr>
        <w:t xml:space="preserve">Tisková zpráva </w:t>
      </w:r>
    </w:p>
    <w:p w14:paraId="3583783F" w14:textId="20913B21" w:rsidR="00E82272" w:rsidRPr="003B2B8C" w:rsidRDefault="003B2B8C">
      <w:pPr>
        <w:pStyle w:val="Nadpis1"/>
        <w:tabs>
          <w:tab w:val="left" w:pos="850"/>
        </w:tabs>
        <w:rPr>
          <w:lang w:val="cs-CZ"/>
        </w:rPr>
      </w:pPr>
      <w:bookmarkStart w:id="1" w:name="_37q07cp91crq" w:colFirst="0" w:colLast="0"/>
      <w:bookmarkEnd w:id="1"/>
      <w:r w:rsidRPr="003B2B8C">
        <w:rPr>
          <w:lang w:val="cs-CZ"/>
        </w:rPr>
        <w:t xml:space="preserve">Koenig &amp; Bauer potvrzuje výhled s výrazným zlepšením zisku ve druhém čtvrtletí </w:t>
      </w:r>
      <w:r w:rsidR="00D92ED2" w:rsidRPr="003B2B8C">
        <w:rPr>
          <w:lang w:val="cs-CZ"/>
        </w:rPr>
        <w:t>–</w:t>
      </w:r>
      <w:r w:rsidRPr="003B2B8C">
        <w:rPr>
          <w:lang w:val="cs-CZ"/>
        </w:rPr>
        <w:t xml:space="preserve"> </w:t>
      </w:r>
      <w:r w:rsidR="00D92ED2" w:rsidRPr="003B2B8C">
        <w:rPr>
          <w:lang w:val="cs-CZ"/>
        </w:rPr>
        <w:t xml:space="preserve">zahájena </w:t>
      </w:r>
      <w:r w:rsidRPr="003B2B8C">
        <w:rPr>
          <w:lang w:val="cs-CZ"/>
        </w:rPr>
        <w:t>revize budoucího směřování společnosti Coding GmbH</w:t>
      </w:r>
      <w:r w:rsidR="00D92ED2" w:rsidRPr="003B2B8C">
        <w:rPr>
          <w:lang w:val="cs-CZ"/>
        </w:rPr>
        <w:t xml:space="preserve"> </w:t>
      </w:r>
    </w:p>
    <w:p w14:paraId="5B9EDBCB" w14:textId="56BF6421" w:rsidR="00E82272" w:rsidRPr="003B2B8C" w:rsidRDefault="00D92ED2">
      <w:pPr>
        <w:numPr>
          <w:ilvl w:val="0"/>
          <w:numId w:val="1"/>
        </w:numPr>
        <w:spacing w:after="0"/>
        <w:rPr>
          <w:lang w:val="cs-CZ"/>
        </w:rPr>
      </w:pPr>
      <w:r w:rsidRPr="003B2B8C">
        <w:rPr>
          <w:lang w:val="cs-CZ"/>
        </w:rPr>
        <w:t>Dobré předběžné výsledky za druhé čtvrtletí a strategické zaměření na klíčové oblasti podnikání s revizí budoucího směřování společnosti Koenig &amp; Bauer Coding GmbH</w:t>
      </w:r>
      <w:r w:rsidR="000109DA" w:rsidRPr="003B2B8C">
        <w:rPr>
          <w:lang w:val="cs-CZ"/>
        </w:rPr>
        <w:t>.</w:t>
      </w:r>
      <w:r w:rsidRPr="003B2B8C">
        <w:rPr>
          <w:lang w:val="cs-CZ"/>
        </w:rPr>
        <w:t xml:space="preserve"> </w:t>
      </w:r>
    </w:p>
    <w:p w14:paraId="7862F0E8" w14:textId="507AB504" w:rsidR="00E82272" w:rsidRPr="003B2B8C" w:rsidRDefault="003B2B8C">
      <w:pPr>
        <w:numPr>
          <w:ilvl w:val="0"/>
          <w:numId w:val="1"/>
        </w:numPr>
        <w:spacing w:after="0"/>
        <w:rPr>
          <w:lang w:val="cs-CZ"/>
        </w:rPr>
      </w:pPr>
      <w:r w:rsidRPr="003B2B8C">
        <w:rPr>
          <w:lang w:val="cs-CZ"/>
        </w:rPr>
        <w:t>Navzdory náročnému tržnímu prostředí - růst tržeb o +7,0 % na 298,2 mil</w:t>
      </w:r>
      <w:r w:rsidR="00524F29" w:rsidRPr="003B2B8C">
        <w:rPr>
          <w:lang w:val="cs-CZ"/>
        </w:rPr>
        <w:t>ionů</w:t>
      </w:r>
      <w:r w:rsidRPr="003B2B8C">
        <w:rPr>
          <w:lang w:val="cs-CZ"/>
        </w:rPr>
        <w:t xml:space="preserve"> eur a rekordní objem nevyřízených zakázek ve výši 1 096,3 mil</w:t>
      </w:r>
      <w:r w:rsidR="00524F29" w:rsidRPr="003B2B8C">
        <w:rPr>
          <w:lang w:val="cs-CZ"/>
        </w:rPr>
        <w:t>ionů</w:t>
      </w:r>
      <w:r w:rsidRPr="003B2B8C">
        <w:rPr>
          <w:lang w:val="cs-CZ"/>
        </w:rPr>
        <w:t xml:space="preserve"> eur (meziročně +7,4 %) dosažený podle předběžných údajů</w:t>
      </w:r>
      <w:r w:rsidR="000109DA" w:rsidRPr="003B2B8C">
        <w:rPr>
          <w:lang w:val="cs-CZ"/>
        </w:rPr>
        <w:t>.</w:t>
      </w:r>
      <w:r w:rsidRPr="003B2B8C">
        <w:rPr>
          <w:lang w:val="cs-CZ"/>
        </w:rPr>
        <w:t xml:space="preserve"> </w:t>
      </w:r>
    </w:p>
    <w:p w14:paraId="06C0DF48" w14:textId="7B4DB3FF" w:rsidR="00E82272" w:rsidRPr="003B2B8C" w:rsidRDefault="003B2B8C">
      <w:pPr>
        <w:numPr>
          <w:ilvl w:val="0"/>
          <w:numId w:val="1"/>
        </w:numPr>
        <w:spacing w:after="0"/>
        <w:rPr>
          <w:lang w:val="cs-CZ"/>
        </w:rPr>
      </w:pPr>
      <w:r w:rsidRPr="003B2B8C">
        <w:rPr>
          <w:lang w:val="cs-CZ"/>
        </w:rPr>
        <w:t>Předběžný provozní zisk EBIT se výrazně zlepšil o 22,7 mil</w:t>
      </w:r>
      <w:r w:rsidR="00524F29" w:rsidRPr="003B2B8C">
        <w:rPr>
          <w:lang w:val="cs-CZ"/>
        </w:rPr>
        <w:t>ionů</w:t>
      </w:r>
      <w:r w:rsidRPr="003B2B8C">
        <w:rPr>
          <w:lang w:val="cs-CZ"/>
        </w:rPr>
        <w:t xml:space="preserve"> eur na 1,8 mil</w:t>
      </w:r>
      <w:r w:rsidR="00524F29" w:rsidRPr="003B2B8C">
        <w:rPr>
          <w:lang w:val="cs-CZ"/>
        </w:rPr>
        <w:t>ionů</w:t>
      </w:r>
      <w:r w:rsidRPr="003B2B8C">
        <w:rPr>
          <w:lang w:val="cs-CZ"/>
        </w:rPr>
        <w:t xml:space="preserve"> eur - potvrzena roční prognóza do roku 2025: Mírný nárůst tržeb na 1,3 miliardy eur a provozní zisk EBIT ve výši 35-50 milionů eur. </w:t>
      </w:r>
    </w:p>
    <w:p w14:paraId="30428F52" w14:textId="1D59F199" w:rsidR="00E82272" w:rsidRPr="003B2B8C" w:rsidRDefault="00D92ED2">
      <w:pPr>
        <w:numPr>
          <w:ilvl w:val="0"/>
          <w:numId w:val="1"/>
        </w:numPr>
        <w:spacing w:after="0"/>
        <w:rPr>
          <w:lang w:val="cs-CZ"/>
        </w:rPr>
      </w:pPr>
      <w:r w:rsidRPr="003B2B8C">
        <w:rPr>
          <w:lang w:val="cs-CZ"/>
        </w:rPr>
        <w:t>Zaměření skupiny pokračuje strategickým přezkumem všech možností pro společnost Coding GmbH - od dalšího rozvoje, včetně společného podniku nebo partnerství, až po možný prodej</w:t>
      </w:r>
      <w:r w:rsidR="000109DA" w:rsidRPr="003B2B8C">
        <w:rPr>
          <w:lang w:val="cs-CZ"/>
        </w:rPr>
        <w:t>.</w:t>
      </w:r>
      <w:r w:rsidRPr="003B2B8C">
        <w:rPr>
          <w:lang w:val="cs-CZ"/>
        </w:rPr>
        <w:t xml:space="preserve">  </w:t>
      </w:r>
    </w:p>
    <w:p w14:paraId="0480FF2E" w14:textId="1E96486F" w:rsidR="00E82272" w:rsidRPr="003B2B8C" w:rsidRDefault="00D92ED2">
      <w:pPr>
        <w:numPr>
          <w:ilvl w:val="0"/>
          <w:numId w:val="1"/>
        </w:numPr>
        <w:spacing w:after="0"/>
        <w:rPr>
          <w:lang w:val="cs-CZ"/>
        </w:rPr>
      </w:pPr>
      <w:r w:rsidRPr="003B2B8C">
        <w:rPr>
          <w:lang w:val="cs-CZ"/>
        </w:rPr>
        <w:t>Na pozadí tohoto přezkumu jsou omezené překryvy a synergie s hlavními oblastmi podnikání skupiny</w:t>
      </w:r>
      <w:r w:rsidR="000109DA" w:rsidRPr="003B2B8C">
        <w:rPr>
          <w:lang w:val="cs-CZ"/>
        </w:rPr>
        <w:t>.</w:t>
      </w:r>
    </w:p>
    <w:p w14:paraId="63CA38A3" w14:textId="0665999A" w:rsidR="00E82272" w:rsidRPr="003B2B8C" w:rsidRDefault="003B2B8C">
      <w:pPr>
        <w:numPr>
          <w:ilvl w:val="0"/>
          <w:numId w:val="1"/>
        </w:numPr>
        <w:spacing w:after="0"/>
        <w:rPr>
          <w:lang w:val="cs-CZ"/>
        </w:rPr>
      </w:pPr>
      <w:r w:rsidRPr="003B2B8C">
        <w:rPr>
          <w:lang w:val="cs-CZ"/>
        </w:rPr>
        <w:t>Koenig &amp; Bauer Coding GmbH: Silná pozice na rostoucím trhu průmyslových kódovacích technologií</w:t>
      </w:r>
      <w:r w:rsidR="000109DA" w:rsidRPr="003B2B8C">
        <w:rPr>
          <w:lang w:val="cs-CZ"/>
        </w:rPr>
        <w:t>.</w:t>
      </w:r>
    </w:p>
    <w:p w14:paraId="5FEBB681" w14:textId="77777777" w:rsidR="00E82272" w:rsidRPr="003B2B8C" w:rsidRDefault="00E82272">
      <w:pPr>
        <w:pStyle w:val="Nadpis3"/>
        <w:rPr>
          <w:sz w:val="40"/>
          <w:szCs w:val="40"/>
          <w:lang w:val="cs-CZ"/>
        </w:rPr>
      </w:pPr>
      <w:bookmarkStart w:id="2" w:name="_3znysh7" w:colFirst="0" w:colLast="0"/>
      <w:bookmarkEnd w:id="2"/>
    </w:p>
    <w:p w14:paraId="70C56547" w14:textId="51F2D2C7" w:rsidR="00E82272" w:rsidRPr="003B2B8C" w:rsidRDefault="003B2B8C">
      <w:pPr>
        <w:rPr>
          <w:lang w:val="cs-CZ"/>
        </w:rPr>
      </w:pPr>
      <w:r w:rsidRPr="003B2B8C">
        <w:rPr>
          <w:lang w:val="cs-CZ"/>
        </w:rPr>
        <w:t>Würzburg, 29. července 2025</w:t>
      </w:r>
      <w:r w:rsidRPr="003B2B8C">
        <w:rPr>
          <w:lang w:val="cs-CZ"/>
        </w:rPr>
        <w:br/>
        <w:t>Společnost Koenig &amp; Bauer, přední světový dodavatel technologií pro speciální tiskové aplikace se zvláštním zaměřením na obalový sektor, za</w:t>
      </w:r>
      <w:r w:rsidR="00D92ED2" w:rsidRPr="003B2B8C">
        <w:rPr>
          <w:lang w:val="cs-CZ"/>
        </w:rPr>
        <w:t>končila</w:t>
      </w:r>
      <w:r w:rsidRPr="003B2B8C">
        <w:rPr>
          <w:lang w:val="cs-CZ"/>
        </w:rPr>
        <w:t xml:space="preserve"> na základě předběžných údajů silné druhé čtvrtletí roku 2025. </w:t>
      </w:r>
      <w:r w:rsidR="000109DA" w:rsidRPr="003B2B8C">
        <w:rPr>
          <w:lang w:val="cs-CZ"/>
        </w:rPr>
        <w:t>Z</w:t>
      </w:r>
      <w:r w:rsidRPr="003B2B8C">
        <w:rPr>
          <w:lang w:val="cs-CZ"/>
        </w:rPr>
        <w:t xml:space="preserve">ároveň důsledně pokračuje ve své strategii zaměřené na posilování ziskovosti. V této souvislosti probíhá revize budoucí orientace společnosti Koenig &amp; Bauer Coding GmbH s cílem dále se </w:t>
      </w:r>
      <w:r w:rsidR="000109DA" w:rsidRPr="003B2B8C">
        <w:rPr>
          <w:lang w:val="cs-CZ"/>
        </w:rPr>
        <w:t>soustředit</w:t>
      </w:r>
      <w:r w:rsidRPr="003B2B8C">
        <w:rPr>
          <w:lang w:val="cs-CZ"/>
        </w:rPr>
        <w:t xml:space="preserve"> na klíčové oblasti podnikání, kterými jsou výroba tiskových strojů a související služby.</w:t>
      </w:r>
    </w:p>
    <w:p w14:paraId="5FCB3CA4" w14:textId="51DF490A" w:rsidR="00E82272" w:rsidRPr="003B2B8C" w:rsidRDefault="003B2B8C">
      <w:pPr>
        <w:rPr>
          <w:lang w:val="cs-CZ"/>
        </w:rPr>
      </w:pPr>
      <w:r w:rsidRPr="003B2B8C">
        <w:rPr>
          <w:lang w:val="cs-CZ"/>
        </w:rPr>
        <w:t xml:space="preserve">Dr. Stephen Kimmich, </w:t>
      </w:r>
      <w:r w:rsidR="00D92ED2" w:rsidRPr="003B2B8C">
        <w:rPr>
          <w:lang w:val="cs-CZ"/>
        </w:rPr>
        <w:t>předseda představenstva</w:t>
      </w:r>
      <w:r w:rsidRPr="003B2B8C">
        <w:rPr>
          <w:lang w:val="cs-CZ"/>
        </w:rPr>
        <w:t xml:space="preserve"> společnosti Koenig &amp; Bauer AG, </w:t>
      </w:r>
      <w:r w:rsidR="000109DA" w:rsidRPr="003B2B8C">
        <w:rPr>
          <w:lang w:val="cs-CZ"/>
        </w:rPr>
        <w:t xml:space="preserve">k tomu </w:t>
      </w:r>
      <w:r w:rsidRPr="003B2B8C">
        <w:rPr>
          <w:lang w:val="cs-CZ"/>
        </w:rPr>
        <w:t xml:space="preserve">dodává: </w:t>
      </w:r>
      <w:r w:rsidR="00D92ED2" w:rsidRPr="003B2B8C">
        <w:rPr>
          <w:lang w:val="cs-CZ"/>
        </w:rPr>
        <w:t>„</w:t>
      </w:r>
      <w:r w:rsidRPr="003B2B8C">
        <w:rPr>
          <w:lang w:val="cs-CZ"/>
        </w:rPr>
        <w:t xml:space="preserve">Navzdory stále náročnému tržnímu prostředí potvrzují předběžná dobrá čísla za </w:t>
      </w:r>
      <w:r w:rsidR="000109DA" w:rsidRPr="003B2B8C">
        <w:rPr>
          <w:lang w:val="cs-CZ"/>
        </w:rPr>
        <w:t>druhé</w:t>
      </w:r>
      <w:r w:rsidRPr="003B2B8C">
        <w:rPr>
          <w:lang w:val="cs-CZ"/>
        </w:rPr>
        <w:t xml:space="preserve"> čtvrtletí účinnost našich opatření </w:t>
      </w:r>
      <w:r w:rsidR="00D92ED2" w:rsidRPr="003B2B8C">
        <w:rPr>
          <w:lang w:val="cs-CZ"/>
        </w:rPr>
        <w:t>„S</w:t>
      </w:r>
      <w:r w:rsidRPr="003B2B8C">
        <w:rPr>
          <w:lang w:val="cs-CZ"/>
        </w:rPr>
        <w:t>potlight</w:t>
      </w:r>
      <w:r w:rsidR="00D92ED2" w:rsidRPr="003B2B8C">
        <w:rPr>
          <w:lang w:val="cs-CZ"/>
        </w:rPr>
        <w:t>”</w:t>
      </w:r>
      <w:r w:rsidRPr="003B2B8C">
        <w:rPr>
          <w:lang w:val="cs-CZ"/>
        </w:rPr>
        <w:t>, která trvale posilují naši ziskovost a optimálně připravují skupinu na budoucnost. Prověření všech možností pro společnost Coding s cílem maximalizovat potenciál této jednotky je logickým a nezbytným krokem v rámci zaměření naší skupiny, protože společnost má pouze omezené synergie s naší hlavní činností.</w:t>
      </w:r>
      <w:r w:rsidR="00D92ED2" w:rsidRPr="003B2B8C">
        <w:rPr>
          <w:lang w:val="cs-CZ"/>
        </w:rPr>
        <w:t>”</w:t>
      </w:r>
    </w:p>
    <w:p w14:paraId="12E2567E" w14:textId="28F101B4" w:rsidR="00E82272" w:rsidRPr="003B2B8C" w:rsidRDefault="003B2B8C">
      <w:pPr>
        <w:pStyle w:val="Nadpis3"/>
        <w:rPr>
          <w:lang w:val="cs-CZ"/>
        </w:rPr>
      </w:pPr>
      <w:bookmarkStart w:id="3" w:name="_hti5ggacu400" w:colFirst="0" w:colLast="0"/>
      <w:bookmarkEnd w:id="3"/>
      <w:r w:rsidRPr="003B2B8C">
        <w:rPr>
          <w:lang w:val="cs-CZ"/>
        </w:rPr>
        <w:lastRenderedPageBreak/>
        <w:t xml:space="preserve">Navzdory náročnému tržnímu prostředí </w:t>
      </w:r>
      <w:r w:rsidRPr="003B2B8C">
        <w:rPr>
          <w:lang w:val="cs-CZ"/>
        </w:rPr>
        <w:t xml:space="preserve">růst tržeb o 7,0 % a historicky nejvyšší počet nevyřízených zakázek v novodobé historii společnosti dosažený podle předběžných údajů </w:t>
      </w:r>
    </w:p>
    <w:p w14:paraId="101CDD5E" w14:textId="667DBFA6" w:rsidR="00E82272" w:rsidRPr="003B2B8C" w:rsidRDefault="003B2B8C">
      <w:pPr>
        <w:rPr>
          <w:lang w:val="cs-CZ"/>
        </w:rPr>
      </w:pPr>
      <w:r w:rsidRPr="003B2B8C">
        <w:rPr>
          <w:lang w:val="cs-CZ"/>
        </w:rPr>
        <w:t>Podle předběžných údajů došlo ve druhém čtvrtletí k nárůstu tržeb o 7,0 % na 298,2 mil</w:t>
      </w:r>
      <w:r w:rsidR="000109DA" w:rsidRPr="003B2B8C">
        <w:rPr>
          <w:lang w:val="cs-CZ"/>
        </w:rPr>
        <w:t>ionu</w:t>
      </w:r>
      <w:r w:rsidR="00D92ED2" w:rsidRPr="003B2B8C">
        <w:rPr>
          <w:lang w:val="cs-CZ"/>
        </w:rPr>
        <w:t xml:space="preserve"> eur</w:t>
      </w:r>
      <w:r w:rsidRPr="003B2B8C">
        <w:rPr>
          <w:lang w:val="cs-CZ"/>
        </w:rPr>
        <w:t xml:space="preserve">. Předběžné příchozí objednávky </w:t>
      </w:r>
      <w:r w:rsidR="000109DA" w:rsidRPr="003B2B8C">
        <w:rPr>
          <w:lang w:val="cs-CZ"/>
        </w:rPr>
        <w:t>dosáhly hodnoty</w:t>
      </w:r>
      <w:r w:rsidRPr="003B2B8C">
        <w:rPr>
          <w:lang w:val="cs-CZ"/>
        </w:rPr>
        <w:t xml:space="preserve"> 361,7 mil</w:t>
      </w:r>
      <w:r w:rsidR="000109DA" w:rsidRPr="003B2B8C">
        <w:rPr>
          <w:lang w:val="cs-CZ"/>
        </w:rPr>
        <w:t>ionu</w:t>
      </w:r>
      <w:r w:rsidR="00D92ED2" w:rsidRPr="003B2B8C">
        <w:rPr>
          <w:lang w:val="cs-CZ"/>
        </w:rPr>
        <w:t xml:space="preserve"> eur</w:t>
      </w:r>
      <w:r w:rsidRPr="003B2B8C">
        <w:rPr>
          <w:lang w:val="cs-CZ"/>
        </w:rPr>
        <w:t xml:space="preserve"> (v předchozím roce 398,6 mil</w:t>
      </w:r>
      <w:r w:rsidR="000109DA" w:rsidRPr="003B2B8C">
        <w:rPr>
          <w:lang w:val="cs-CZ"/>
        </w:rPr>
        <w:t>ionu</w:t>
      </w:r>
      <w:r w:rsidR="00827CAE" w:rsidRPr="003B2B8C">
        <w:rPr>
          <w:lang w:val="cs-CZ"/>
        </w:rPr>
        <w:t xml:space="preserve"> eur</w:t>
      </w:r>
      <w:r w:rsidRPr="003B2B8C">
        <w:rPr>
          <w:lang w:val="cs-CZ"/>
        </w:rPr>
        <w:t>). Jedná se o solidní vývoj v kontextu zpomalení poptávky</w:t>
      </w:r>
      <w:r w:rsidR="000109DA" w:rsidRPr="003B2B8C">
        <w:rPr>
          <w:lang w:val="cs-CZ"/>
        </w:rPr>
        <w:t>, způsobeného</w:t>
      </w:r>
      <w:r w:rsidRPr="003B2B8C">
        <w:rPr>
          <w:lang w:val="cs-CZ"/>
        </w:rPr>
        <w:t xml:space="preserve"> celní</w:t>
      </w:r>
      <w:r w:rsidR="000109DA" w:rsidRPr="003B2B8C">
        <w:rPr>
          <w:lang w:val="cs-CZ"/>
        </w:rPr>
        <w:t>mi</w:t>
      </w:r>
      <w:r w:rsidRPr="003B2B8C">
        <w:rPr>
          <w:lang w:val="cs-CZ"/>
        </w:rPr>
        <w:t xml:space="preserve"> nejistot</w:t>
      </w:r>
      <w:r w:rsidR="000109DA" w:rsidRPr="003B2B8C">
        <w:rPr>
          <w:lang w:val="cs-CZ"/>
        </w:rPr>
        <w:t>ami</w:t>
      </w:r>
      <w:r w:rsidRPr="003B2B8C">
        <w:rPr>
          <w:lang w:val="cs-CZ"/>
        </w:rPr>
        <w:t xml:space="preserve"> v USA a vysok</w:t>
      </w:r>
      <w:r w:rsidR="000109DA" w:rsidRPr="003B2B8C">
        <w:rPr>
          <w:lang w:val="cs-CZ"/>
        </w:rPr>
        <w:t>ou</w:t>
      </w:r>
      <w:r w:rsidRPr="003B2B8C">
        <w:rPr>
          <w:lang w:val="cs-CZ"/>
        </w:rPr>
        <w:t xml:space="preserve"> zakázkov</w:t>
      </w:r>
      <w:r w:rsidR="000109DA" w:rsidRPr="003B2B8C">
        <w:rPr>
          <w:lang w:val="cs-CZ"/>
        </w:rPr>
        <w:t>ou</w:t>
      </w:r>
      <w:r w:rsidRPr="003B2B8C">
        <w:rPr>
          <w:lang w:val="cs-CZ"/>
        </w:rPr>
        <w:t xml:space="preserve"> </w:t>
      </w:r>
      <w:r w:rsidR="000109DA" w:rsidRPr="003B2B8C">
        <w:rPr>
          <w:lang w:val="cs-CZ"/>
        </w:rPr>
        <w:t xml:space="preserve">aktivitou v souvislosti s </w:t>
      </w:r>
      <w:r w:rsidRPr="003B2B8C">
        <w:rPr>
          <w:lang w:val="cs-CZ"/>
        </w:rPr>
        <w:t>veletrh</w:t>
      </w:r>
      <w:r w:rsidR="000109DA" w:rsidRPr="003B2B8C">
        <w:rPr>
          <w:lang w:val="cs-CZ"/>
        </w:rPr>
        <w:t>em</w:t>
      </w:r>
      <w:r w:rsidRPr="003B2B8C">
        <w:rPr>
          <w:lang w:val="cs-CZ"/>
        </w:rPr>
        <w:t xml:space="preserve"> drupa v</w:t>
      </w:r>
      <w:r w:rsidR="000109DA" w:rsidRPr="003B2B8C">
        <w:rPr>
          <w:lang w:val="cs-CZ"/>
        </w:rPr>
        <w:t>e</w:t>
      </w:r>
      <w:r w:rsidRPr="003B2B8C">
        <w:rPr>
          <w:lang w:val="cs-CZ"/>
        </w:rPr>
        <w:t xml:space="preserve"> </w:t>
      </w:r>
      <w:r w:rsidR="000109DA" w:rsidRPr="003B2B8C">
        <w:rPr>
          <w:lang w:val="cs-CZ"/>
        </w:rPr>
        <w:t xml:space="preserve">velmi </w:t>
      </w:r>
      <w:r w:rsidRPr="003B2B8C">
        <w:rPr>
          <w:lang w:val="cs-CZ"/>
        </w:rPr>
        <w:t xml:space="preserve">silném předchozím </w:t>
      </w:r>
      <w:r w:rsidRPr="003B2B8C">
        <w:rPr>
          <w:lang w:val="cs-CZ"/>
        </w:rPr>
        <w:t xml:space="preserve">čtvrtletí. </w:t>
      </w:r>
      <w:r w:rsidR="00BC7306" w:rsidRPr="003B2B8C">
        <w:rPr>
          <w:lang w:val="cs-CZ"/>
        </w:rPr>
        <w:t>O</w:t>
      </w:r>
      <w:r w:rsidRPr="003B2B8C">
        <w:rPr>
          <w:lang w:val="cs-CZ"/>
        </w:rPr>
        <w:t xml:space="preserve">bjem nevyřízených objednávek se </w:t>
      </w:r>
      <w:r w:rsidR="00BC7306" w:rsidRPr="003B2B8C">
        <w:rPr>
          <w:lang w:val="cs-CZ"/>
        </w:rPr>
        <w:t>podle</w:t>
      </w:r>
      <w:r w:rsidRPr="003B2B8C">
        <w:rPr>
          <w:lang w:val="cs-CZ"/>
        </w:rPr>
        <w:t xml:space="preserve"> předběžných údajů zvýšil na 1 096,3 mil</w:t>
      </w:r>
      <w:r w:rsidR="00BC7306" w:rsidRPr="003B2B8C">
        <w:rPr>
          <w:lang w:val="cs-CZ"/>
        </w:rPr>
        <w:t>ionu</w:t>
      </w:r>
      <w:r w:rsidR="00827CAE" w:rsidRPr="003B2B8C">
        <w:rPr>
          <w:lang w:val="cs-CZ"/>
        </w:rPr>
        <w:t xml:space="preserve"> eur</w:t>
      </w:r>
      <w:r w:rsidRPr="003B2B8C">
        <w:rPr>
          <w:lang w:val="cs-CZ"/>
        </w:rPr>
        <w:t xml:space="preserve"> (+7,4 %), což představuje nejvyšší hodnotu v novodobé historii společnosti.</w:t>
      </w:r>
    </w:p>
    <w:p w14:paraId="3E651E77" w14:textId="33579ECC" w:rsidR="00E82272" w:rsidRPr="003B2B8C" w:rsidRDefault="003B2B8C">
      <w:pPr>
        <w:pStyle w:val="Nadpis3"/>
        <w:rPr>
          <w:lang w:val="cs-CZ"/>
        </w:rPr>
      </w:pPr>
      <w:bookmarkStart w:id="4" w:name="_nhdda2a9ogxt" w:colFirst="0" w:colLast="0"/>
      <w:bookmarkEnd w:id="4"/>
      <w:r w:rsidRPr="003B2B8C">
        <w:rPr>
          <w:lang w:val="cs-CZ"/>
        </w:rPr>
        <w:t>Předběžný provozní zisk EBIT se výrazně zlepšil o 22,7 mil</w:t>
      </w:r>
      <w:r w:rsidR="00BC7306" w:rsidRPr="003B2B8C">
        <w:rPr>
          <w:lang w:val="cs-CZ"/>
        </w:rPr>
        <w:t>ionu</w:t>
      </w:r>
      <w:r w:rsidRPr="003B2B8C">
        <w:rPr>
          <w:lang w:val="cs-CZ"/>
        </w:rPr>
        <w:t xml:space="preserve"> </w:t>
      </w:r>
      <w:r>
        <w:rPr>
          <w:lang w:val="cs-CZ"/>
        </w:rPr>
        <w:t>E</w:t>
      </w:r>
      <w:r w:rsidR="00827CAE" w:rsidRPr="003B2B8C">
        <w:rPr>
          <w:lang w:val="cs-CZ"/>
        </w:rPr>
        <w:t>ur</w:t>
      </w:r>
      <w:r w:rsidRPr="003B2B8C">
        <w:rPr>
          <w:lang w:val="cs-CZ"/>
        </w:rPr>
        <w:t xml:space="preserve"> - roční prognóza pro rok 2025 potvrzena</w:t>
      </w:r>
    </w:p>
    <w:p w14:paraId="484E815D" w14:textId="34D7857E" w:rsidR="00E82272" w:rsidRPr="003B2B8C" w:rsidRDefault="003B2B8C">
      <w:pPr>
        <w:rPr>
          <w:lang w:val="cs-CZ"/>
        </w:rPr>
      </w:pPr>
      <w:r w:rsidRPr="003B2B8C">
        <w:rPr>
          <w:lang w:val="cs-CZ"/>
        </w:rPr>
        <w:t xml:space="preserve">Předběžný provozní zisk EBIT se oproti stejnému </w:t>
      </w:r>
      <w:r w:rsidR="00BC7306" w:rsidRPr="003B2B8C">
        <w:rPr>
          <w:lang w:val="cs-CZ"/>
        </w:rPr>
        <w:t>období</w:t>
      </w:r>
      <w:r w:rsidRPr="003B2B8C">
        <w:rPr>
          <w:lang w:val="cs-CZ"/>
        </w:rPr>
        <w:t xml:space="preserve"> předchozího roku zvýšil o 24,1 mil</w:t>
      </w:r>
      <w:r w:rsidR="00BC7306" w:rsidRPr="003B2B8C">
        <w:rPr>
          <w:lang w:val="cs-CZ"/>
        </w:rPr>
        <w:t>ionu</w:t>
      </w:r>
      <w:r w:rsidRPr="003B2B8C">
        <w:rPr>
          <w:lang w:val="cs-CZ"/>
        </w:rPr>
        <w:t xml:space="preserve"> </w:t>
      </w:r>
      <w:r w:rsidR="00827CAE" w:rsidRPr="003B2B8C">
        <w:rPr>
          <w:lang w:val="cs-CZ"/>
        </w:rPr>
        <w:t>eur</w:t>
      </w:r>
      <w:r w:rsidRPr="003B2B8C">
        <w:rPr>
          <w:lang w:val="cs-CZ"/>
        </w:rPr>
        <w:t xml:space="preserve"> na 0,4 mil</w:t>
      </w:r>
      <w:r w:rsidR="00BC7306" w:rsidRPr="003B2B8C">
        <w:rPr>
          <w:lang w:val="cs-CZ"/>
        </w:rPr>
        <w:t>ionu</w:t>
      </w:r>
      <w:r w:rsidRPr="003B2B8C">
        <w:rPr>
          <w:lang w:val="cs-CZ"/>
        </w:rPr>
        <w:t xml:space="preserve"> </w:t>
      </w:r>
      <w:r w:rsidR="00827CAE" w:rsidRPr="003B2B8C">
        <w:rPr>
          <w:lang w:val="cs-CZ"/>
        </w:rPr>
        <w:t>eur</w:t>
      </w:r>
      <w:r w:rsidRPr="003B2B8C">
        <w:rPr>
          <w:lang w:val="cs-CZ"/>
        </w:rPr>
        <w:t xml:space="preserve">, zatímco předběžný </w:t>
      </w:r>
      <w:r w:rsidR="00F24EFE" w:rsidRPr="003B2B8C">
        <w:rPr>
          <w:lang w:val="cs-CZ"/>
        </w:rPr>
        <w:t xml:space="preserve">operativní </w:t>
      </w:r>
      <w:r w:rsidRPr="003B2B8C">
        <w:rPr>
          <w:lang w:val="cs-CZ"/>
        </w:rPr>
        <w:t xml:space="preserve">zisk EBIT vzrostl o 22,7 milionu </w:t>
      </w:r>
      <w:r w:rsidR="00BC7306" w:rsidRPr="003B2B8C">
        <w:rPr>
          <w:lang w:val="cs-CZ"/>
        </w:rPr>
        <w:t>eur</w:t>
      </w:r>
      <w:r w:rsidRPr="003B2B8C">
        <w:rPr>
          <w:lang w:val="cs-CZ"/>
        </w:rPr>
        <w:t xml:space="preserve"> na 1,8 mil</w:t>
      </w:r>
      <w:r w:rsidR="00BC7306" w:rsidRPr="003B2B8C">
        <w:rPr>
          <w:lang w:val="cs-CZ"/>
        </w:rPr>
        <w:t>ionu</w:t>
      </w:r>
      <w:r w:rsidRPr="003B2B8C">
        <w:rPr>
          <w:lang w:val="cs-CZ"/>
        </w:rPr>
        <w:t xml:space="preserve"> </w:t>
      </w:r>
      <w:r w:rsidR="00F24EFE" w:rsidRPr="003B2B8C">
        <w:rPr>
          <w:lang w:val="cs-CZ"/>
        </w:rPr>
        <w:t>eur</w:t>
      </w:r>
      <w:r w:rsidRPr="003B2B8C">
        <w:rPr>
          <w:lang w:val="cs-CZ"/>
        </w:rPr>
        <w:t xml:space="preserve">. </w:t>
      </w:r>
      <w:r w:rsidR="00F24EFE" w:rsidRPr="003B2B8C">
        <w:rPr>
          <w:lang w:val="cs-CZ"/>
        </w:rPr>
        <w:t>Velmi dobré</w:t>
      </w:r>
      <w:r w:rsidRPr="003B2B8C">
        <w:rPr>
          <w:lang w:val="cs-CZ"/>
        </w:rPr>
        <w:t xml:space="preserve"> výsledky potvrzují prognózu pro celý rok 2025: skupina nadále očekává mírný nárůst tržeb na 1,3 miliardy eur při zvýšení </w:t>
      </w:r>
      <w:r w:rsidR="00F24EFE" w:rsidRPr="003B2B8C">
        <w:rPr>
          <w:lang w:val="cs-CZ"/>
        </w:rPr>
        <w:t xml:space="preserve">operativního </w:t>
      </w:r>
      <w:r w:rsidRPr="003B2B8C">
        <w:rPr>
          <w:lang w:val="cs-CZ"/>
        </w:rPr>
        <w:t xml:space="preserve">zisku EBIT v </w:t>
      </w:r>
      <w:r w:rsidR="00F24EFE" w:rsidRPr="003B2B8C">
        <w:rPr>
          <w:lang w:val="cs-CZ"/>
        </w:rPr>
        <w:t>rozmezí</w:t>
      </w:r>
      <w:r w:rsidRPr="003B2B8C">
        <w:rPr>
          <w:lang w:val="cs-CZ"/>
        </w:rPr>
        <w:t xml:space="preserve"> 35 a</w:t>
      </w:r>
      <w:r w:rsidR="00BC7306" w:rsidRPr="003B2B8C">
        <w:rPr>
          <w:lang w:val="cs-CZ"/>
        </w:rPr>
        <w:t>ž</w:t>
      </w:r>
      <w:r w:rsidRPr="003B2B8C">
        <w:rPr>
          <w:lang w:val="cs-CZ"/>
        </w:rPr>
        <w:t xml:space="preserve"> 50 mil</w:t>
      </w:r>
      <w:r w:rsidR="00BC7306" w:rsidRPr="003B2B8C">
        <w:rPr>
          <w:lang w:val="cs-CZ"/>
        </w:rPr>
        <w:t>ionů</w:t>
      </w:r>
      <w:r w:rsidRPr="003B2B8C">
        <w:rPr>
          <w:lang w:val="cs-CZ"/>
        </w:rPr>
        <w:t xml:space="preserve"> eur. Dosažení cíle v tomto </w:t>
      </w:r>
      <w:r w:rsidR="00F24EFE" w:rsidRPr="003B2B8C">
        <w:rPr>
          <w:lang w:val="cs-CZ"/>
        </w:rPr>
        <w:t>rozmezí</w:t>
      </w:r>
      <w:r w:rsidRPr="003B2B8C">
        <w:rPr>
          <w:lang w:val="cs-CZ"/>
        </w:rPr>
        <w:t xml:space="preserve"> </w:t>
      </w:r>
      <w:r w:rsidR="00BC7306" w:rsidRPr="003B2B8C">
        <w:rPr>
          <w:lang w:val="cs-CZ"/>
        </w:rPr>
        <w:t>bude</w:t>
      </w:r>
      <w:r w:rsidRPr="003B2B8C">
        <w:rPr>
          <w:lang w:val="cs-CZ"/>
        </w:rPr>
        <w:t xml:space="preserve"> do značné míry </w:t>
      </w:r>
      <w:r w:rsidR="00BC7306" w:rsidRPr="003B2B8C">
        <w:rPr>
          <w:lang w:val="cs-CZ"/>
        </w:rPr>
        <w:t xml:space="preserve">záviset </w:t>
      </w:r>
      <w:r w:rsidRPr="003B2B8C">
        <w:rPr>
          <w:lang w:val="cs-CZ"/>
        </w:rPr>
        <w:t xml:space="preserve">na </w:t>
      </w:r>
      <w:r w:rsidR="00BC7306" w:rsidRPr="003B2B8C">
        <w:rPr>
          <w:lang w:val="cs-CZ"/>
        </w:rPr>
        <w:t xml:space="preserve">vývoji </w:t>
      </w:r>
      <w:r w:rsidRPr="003B2B8C">
        <w:rPr>
          <w:lang w:val="cs-CZ"/>
        </w:rPr>
        <w:t xml:space="preserve">globální ekonomické a geopolitické </w:t>
      </w:r>
      <w:r w:rsidR="00BC7306" w:rsidRPr="003B2B8C">
        <w:rPr>
          <w:lang w:val="cs-CZ"/>
        </w:rPr>
        <w:t>situace</w:t>
      </w:r>
      <w:r w:rsidRPr="003B2B8C">
        <w:rPr>
          <w:lang w:val="cs-CZ"/>
        </w:rPr>
        <w:t xml:space="preserve"> v nadcházejících měsících.</w:t>
      </w:r>
    </w:p>
    <w:p w14:paraId="06C5A73A" w14:textId="4DD40C2E" w:rsidR="00E82272" w:rsidRPr="003B2B8C" w:rsidRDefault="00F24EFE">
      <w:pPr>
        <w:rPr>
          <w:lang w:val="cs-CZ"/>
        </w:rPr>
      </w:pPr>
      <w:r w:rsidRPr="003B2B8C">
        <w:rPr>
          <w:lang w:val="cs-CZ"/>
        </w:rPr>
        <w:t xml:space="preserve">„Předběžná čísla za </w:t>
      </w:r>
      <w:r w:rsidR="00BC7306" w:rsidRPr="003B2B8C">
        <w:rPr>
          <w:lang w:val="cs-CZ"/>
        </w:rPr>
        <w:t>druhé</w:t>
      </w:r>
      <w:r w:rsidRPr="003B2B8C">
        <w:rPr>
          <w:lang w:val="cs-CZ"/>
        </w:rPr>
        <w:t xml:space="preserve"> čtvrtletí ukazují pozitivní vývoj naší finanční situace, kterou dále posilujeme důsledným řízením v rámci programu „Spotlight”, komentuje Dr. Alexander Blum, finanční ředitel společnosti Koenig &amp; Bauer AG, a dodává: „Zaměřujeme se na optimalizaci efektivity a ziskovosti skupiny prostřednictvím jasného zaměření na tvorbu hodnot, </w:t>
      </w:r>
      <w:r w:rsidR="00BC7306" w:rsidRPr="003B2B8C">
        <w:rPr>
          <w:lang w:val="cs-CZ"/>
        </w:rPr>
        <w:t xml:space="preserve">čímž </w:t>
      </w:r>
      <w:r w:rsidRPr="003B2B8C">
        <w:rPr>
          <w:lang w:val="cs-CZ"/>
        </w:rPr>
        <w:t>vytváříme odolný základ pro udržitelný růst a dosažení našich cílů.”</w:t>
      </w:r>
    </w:p>
    <w:p w14:paraId="67AD18C3" w14:textId="0380A737" w:rsidR="00E82272" w:rsidRPr="003B2B8C" w:rsidRDefault="003B2B8C">
      <w:pPr>
        <w:pStyle w:val="Nadpis3"/>
        <w:rPr>
          <w:lang w:val="cs-CZ"/>
        </w:rPr>
      </w:pPr>
      <w:bookmarkStart w:id="5" w:name="_hxf1i1bvmqp" w:colFirst="0" w:colLast="0"/>
      <w:bookmarkEnd w:id="5"/>
      <w:r w:rsidRPr="003B2B8C">
        <w:rPr>
          <w:lang w:val="cs-CZ"/>
        </w:rPr>
        <w:t>Koncern se zaměřuje na přezkoumání všech možností pro společnost Coding GmbH</w:t>
      </w:r>
      <w:r>
        <w:rPr>
          <w:lang w:val="cs-CZ"/>
        </w:rPr>
        <w:t xml:space="preserve">, </w:t>
      </w:r>
      <w:r w:rsidRPr="003B2B8C">
        <w:rPr>
          <w:lang w:val="cs-CZ"/>
        </w:rPr>
        <w:t>od dalšího rozvoje, včetně společného podniku nebo partnerství, až po možný prodej</w:t>
      </w:r>
    </w:p>
    <w:p w14:paraId="769BCF9F" w14:textId="2F7A1C52" w:rsidR="00E82272" w:rsidRPr="003B2B8C" w:rsidRDefault="003B2B8C">
      <w:pPr>
        <w:rPr>
          <w:lang w:val="cs-CZ"/>
        </w:rPr>
      </w:pPr>
      <w:r w:rsidRPr="003B2B8C">
        <w:rPr>
          <w:lang w:val="cs-CZ"/>
        </w:rPr>
        <w:t xml:space="preserve">Zlepšení zisku ukazuje pozitivní vliv programu </w:t>
      </w:r>
      <w:r w:rsidR="00F24EFE" w:rsidRPr="003B2B8C">
        <w:rPr>
          <w:lang w:val="cs-CZ"/>
        </w:rPr>
        <w:t>„</w:t>
      </w:r>
      <w:r w:rsidRPr="003B2B8C">
        <w:rPr>
          <w:lang w:val="cs-CZ"/>
        </w:rPr>
        <w:t>Spotlight</w:t>
      </w:r>
      <w:r w:rsidR="00F24EFE" w:rsidRPr="003B2B8C">
        <w:rPr>
          <w:lang w:val="cs-CZ"/>
        </w:rPr>
        <w:t>”</w:t>
      </w:r>
      <w:r w:rsidRPr="003B2B8C">
        <w:rPr>
          <w:lang w:val="cs-CZ"/>
        </w:rPr>
        <w:t xml:space="preserve">, který je již téměř dokončen a pomáhá reorganizovat skupinu a posílit její ziskovost. V rámci tohoto programu již došlo ke snížení portfolia projektů v rámci celé skupiny. Například byl ukončen projekt CSMetalCan pro potisk dvoudílných nápojových plechovek a </w:t>
      </w:r>
      <w:r w:rsidR="00F24EFE" w:rsidRPr="003B2B8C">
        <w:rPr>
          <w:lang w:val="cs-CZ"/>
        </w:rPr>
        <w:t>náročnost</w:t>
      </w:r>
      <w:r w:rsidRPr="003B2B8C">
        <w:rPr>
          <w:lang w:val="cs-CZ"/>
        </w:rPr>
        <w:t xml:space="preserve"> v oblasti flexotisku byla snížena vyřazením některých variant strojů. </w:t>
      </w:r>
    </w:p>
    <w:p w14:paraId="5278FE59" w14:textId="0CE09DC1" w:rsidR="00E82272" w:rsidRPr="003B2B8C" w:rsidRDefault="003B2B8C">
      <w:pPr>
        <w:rPr>
          <w:lang w:val="cs-CZ"/>
        </w:rPr>
      </w:pPr>
      <w:r w:rsidRPr="003B2B8C">
        <w:rPr>
          <w:lang w:val="cs-CZ"/>
        </w:rPr>
        <w:t xml:space="preserve">Jako další logický krok při soustředění se na hlavní oblasti podnikání se v současné době </w:t>
      </w:r>
      <w:r w:rsidR="00F24EFE" w:rsidRPr="003B2B8C">
        <w:rPr>
          <w:lang w:val="cs-CZ"/>
        </w:rPr>
        <w:t>prověřuje</w:t>
      </w:r>
      <w:r w:rsidRPr="003B2B8C">
        <w:rPr>
          <w:lang w:val="cs-CZ"/>
        </w:rPr>
        <w:t xml:space="preserve"> budoucí zaměření společnosti Koenig &amp; Bauer Coding GmbH. Důvodem je omezené překrývání s ostatními klíčovými oblastmi podnikání skupiny, které se </w:t>
      </w:r>
      <w:r w:rsidR="00F24EFE" w:rsidRPr="003B2B8C">
        <w:rPr>
          <w:lang w:val="cs-CZ"/>
        </w:rPr>
        <w:t>orientují</w:t>
      </w:r>
      <w:r w:rsidRPr="003B2B8C">
        <w:rPr>
          <w:lang w:val="cs-CZ"/>
        </w:rPr>
        <w:t xml:space="preserve"> na průmyslové tiskové aplikace, jako jsou obaly nebo bezpečnostní tisk. Naproti tomu společnost Koenig &amp; Bauer Coding GmbH </w:t>
      </w:r>
      <w:r w:rsidR="00BC7306" w:rsidRPr="003B2B8C">
        <w:rPr>
          <w:lang w:val="cs-CZ"/>
        </w:rPr>
        <w:t>funguje</w:t>
      </w:r>
      <w:r w:rsidRPr="003B2B8C">
        <w:rPr>
          <w:lang w:val="cs-CZ"/>
        </w:rPr>
        <w:t xml:space="preserve"> do značné míry </w:t>
      </w:r>
      <w:r w:rsidR="00BC7306" w:rsidRPr="003B2B8C">
        <w:rPr>
          <w:lang w:val="cs-CZ"/>
        </w:rPr>
        <w:t xml:space="preserve">jako </w:t>
      </w:r>
      <w:r w:rsidRPr="003B2B8C">
        <w:rPr>
          <w:lang w:val="cs-CZ"/>
        </w:rPr>
        <w:t>samostatn</w:t>
      </w:r>
      <w:r w:rsidR="00BC7306" w:rsidRPr="003B2B8C">
        <w:rPr>
          <w:lang w:val="cs-CZ"/>
        </w:rPr>
        <w:t>á</w:t>
      </w:r>
      <w:r w:rsidRPr="003B2B8C">
        <w:rPr>
          <w:lang w:val="cs-CZ"/>
        </w:rPr>
        <w:t xml:space="preserve"> jednotk</w:t>
      </w:r>
      <w:r w:rsidR="00BC7306" w:rsidRPr="003B2B8C">
        <w:rPr>
          <w:lang w:val="cs-CZ"/>
        </w:rPr>
        <w:t>a</w:t>
      </w:r>
      <w:r w:rsidRPr="003B2B8C">
        <w:rPr>
          <w:lang w:val="cs-CZ"/>
        </w:rPr>
        <w:t>, která obsluhuje navazující</w:t>
      </w:r>
      <w:r w:rsidRPr="003B2B8C">
        <w:rPr>
          <w:lang w:val="cs-CZ"/>
        </w:rPr>
        <w:t xml:space="preserve"> trh. Její kódovací a označovací systémy používají obvykle samotné stáčírny a balírny. Vzhledem k těmto rozdílným tržním orientacím a omezeným synergiím v rámci skupiny zahrnuje přezkum všechny možnosti dalšího rozvoje společnosti Coding, včetně společného podniku, partnerství nebo případného prodeje.</w:t>
      </w:r>
    </w:p>
    <w:p w14:paraId="06C27247" w14:textId="1B91DCD9" w:rsidR="00E82272" w:rsidRPr="003B2B8C" w:rsidRDefault="003B2B8C">
      <w:pPr>
        <w:pStyle w:val="Nadpis3"/>
        <w:rPr>
          <w:lang w:val="cs-CZ"/>
        </w:rPr>
      </w:pPr>
      <w:bookmarkStart w:id="6" w:name="_s761utiwr9an" w:colFirst="0" w:colLast="0"/>
      <w:bookmarkEnd w:id="6"/>
      <w:r w:rsidRPr="003B2B8C">
        <w:rPr>
          <w:lang w:val="cs-CZ"/>
        </w:rPr>
        <w:t>Koenig &amp; Bauer Coding GmbH: Silná pozice na rostoucím trhu průmyslov</w:t>
      </w:r>
      <w:r w:rsidR="00FD5FEA" w:rsidRPr="003B2B8C">
        <w:rPr>
          <w:lang w:val="cs-CZ"/>
        </w:rPr>
        <w:t>ého značení</w:t>
      </w:r>
    </w:p>
    <w:p w14:paraId="6CA6CE61" w14:textId="26BED058" w:rsidR="00E82272" w:rsidRPr="003B2B8C" w:rsidRDefault="003B2B8C">
      <w:pPr>
        <w:rPr>
          <w:lang w:val="cs-CZ"/>
        </w:rPr>
      </w:pPr>
      <w:r w:rsidRPr="003B2B8C">
        <w:rPr>
          <w:lang w:val="cs-CZ"/>
        </w:rPr>
        <w:t xml:space="preserve">Společnost Koenig &amp; Bauer Coding GmbH </w:t>
      </w:r>
      <w:r w:rsidR="008C1999" w:rsidRPr="003B2B8C">
        <w:rPr>
          <w:lang w:val="cs-CZ"/>
        </w:rPr>
        <w:t xml:space="preserve">se sídlem </w:t>
      </w:r>
      <w:r w:rsidRPr="003B2B8C">
        <w:rPr>
          <w:lang w:val="cs-CZ"/>
        </w:rPr>
        <w:t xml:space="preserve">v německém Veitshöchheimu je s přibližně 300 zaměstnanci a více než 50 lety zkušeností jedním z předních dodavatelů na rostoucím trhu průmyslových kódovacích technologií. </w:t>
      </w:r>
      <w:r w:rsidR="008C1999" w:rsidRPr="003B2B8C">
        <w:rPr>
          <w:lang w:val="cs-CZ"/>
        </w:rPr>
        <w:t>M</w:t>
      </w:r>
      <w:r w:rsidRPr="003B2B8C">
        <w:rPr>
          <w:lang w:val="cs-CZ"/>
        </w:rPr>
        <w:t xml:space="preserve">á solidní finanční profil a se svým portfoliem výrobků, které zahrnuje inkoustové a laserové systémy, je na trhu výborně zavedená. Mezi její zákazníky patří významné mezinárodní skupiny z oblasti potravinářství a výroby nápojů, spotřebního zboží, farmaceutického a kosmetického průmyslu a automobilového </w:t>
      </w:r>
      <w:r w:rsidR="008C1999" w:rsidRPr="003B2B8C">
        <w:rPr>
          <w:lang w:val="cs-CZ"/>
        </w:rPr>
        <w:t>sektoru</w:t>
      </w:r>
      <w:r w:rsidRPr="003B2B8C">
        <w:rPr>
          <w:lang w:val="cs-CZ"/>
        </w:rPr>
        <w:t xml:space="preserve">. Společnost </w:t>
      </w:r>
      <w:r w:rsidR="008C1999" w:rsidRPr="003B2B8C">
        <w:rPr>
          <w:lang w:val="cs-CZ"/>
        </w:rPr>
        <w:t xml:space="preserve">v </w:t>
      </w:r>
      <w:r w:rsidRPr="003B2B8C">
        <w:rPr>
          <w:lang w:val="cs-CZ"/>
        </w:rPr>
        <w:t>souč</w:t>
      </w:r>
      <w:r w:rsidRPr="003B2B8C">
        <w:rPr>
          <w:lang w:val="cs-CZ"/>
        </w:rPr>
        <w:t>asn</w:t>
      </w:r>
      <w:r w:rsidR="008C1999" w:rsidRPr="003B2B8C">
        <w:rPr>
          <w:lang w:val="cs-CZ"/>
        </w:rPr>
        <w:t>osti</w:t>
      </w:r>
      <w:r w:rsidRPr="003B2B8C">
        <w:rPr>
          <w:lang w:val="cs-CZ"/>
        </w:rPr>
        <w:t xml:space="preserve"> dosahuje stabilního obratu ve výši přibližně 5 % skupiny Koenig &amp; Bauer s dobrými vyhlídkami na budoucí růst.</w:t>
      </w:r>
    </w:p>
    <w:p w14:paraId="56484F1B" w14:textId="3FE752DF" w:rsidR="00E82272" w:rsidRPr="003B2B8C" w:rsidRDefault="003B2B8C">
      <w:pPr>
        <w:rPr>
          <w:lang w:val="cs-CZ"/>
        </w:rPr>
      </w:pPr>
      <w:r w:rsidRPr="003B2B8C">
        <w:rPr>
          <w:lang w:val="cs-CZ"/>
        </w:rPr>
        <w:lastRenderedPageBreak/>
        <w:t xml:space="preserve">Dr. Stephen Kimmich dodává: </w:t>
      </w:r>
      <w:r w:rsidR="00995FC7" w:rsidRPr="003B2B8C">
        <w:rPr>
          <w:lang w:val="cs-CZ"/>
        </w:rPr>
        <w:t>„</w:t>
      </w:r>
      <w:r w:rsidRPr="003B2B8C">
        <w:rPr>
          <w:lang w:val="cs-CZ"/>
        </w:rPr>
        <w:t xml:space="preserve">Naše divize </w:t>
      </w:r>
      <w:r w:rsidR="00FD5FEA" w:rsidRPr="003B2B8C">
        <w:rPr>
          <w:lang w:val="cs-CZ"/>
        </w:rPr>
        <w:t>průmyslového značení</w:t>
      </w:r>
      <w:r w:rsidRPr="003B2B8C">
        <w:rPr>
          <w:lang w:val="cs-CZ"/>
        </w:rPr>
        <w:t xml:space="preserve"> je solidní a dobře řízená obchodní jednotka s angažovanými zaměstnanci a dobrým tržním potenciálem, který chceme využít v rámci našeho dalšího cíleného rozvoje.</w:t>
      </w:r>
      <w:r w:rsidR="00995FC7" w:rsidRPr="003B2B8C">
        <w:rPr>
          <w:lang w:val="cs-CZ"/>
        </w:rPr>
        <w:t>”</w:t>
      </w:r>
    </w:p>
    <w:p w14:paraId="2F0F9FFE" w14:textId="77777777" w:rsidR="00E82272" w:rsidRPr="003B2B8C" w:rsidRDefault="003B2B8C">
      <w:pPr>
        <w:tabs>
          <w:tab w:val="left" w:pos="850"/>
        </w:tabs>
        <w:spacing w:before="240"/>
        <w:jc w:val="both"/>
        <w:rPr>
          <w:color w:val="0A0F0A"/>
          <w:sz w:val="24"/>
          <w:szCs w:val="24"/>
          <w:highlight w:val="white"/>
          <w:lang w:val="cs-CZ"/>
        </w:rPr>
      </w:pPr>
      <w:r w:rsidRPr="003B2B8C">
        <w:rPr>
          <w:color w:val="0A0F0A"/>
          <w:highlight w:val="white"/>
          <w:lang w:val="cs-CZ"/>
        </w:rPr>
        <w:t>Předběžné údaje za druhé čtvrtletí roku 2025 jsou následující</w:t>
      </w:r>
    </w:p>
    <w:tbl>
      <w:tblPr>
        <w:tblStyle w:val="a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1770"/>
        <w:gridCol w:w="1860"/>
        <w:gridCol w:w="1860"/>
        <w:gridCol w:w="2130"/>
      </w:tblGrid>
      <w:tr w:rsidR="00E82272" w:rsidRPr="003B2B8C" w14:paraId="248F5F98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99D4E" w14:textId="027A21E9" w:rsidR="00E82272" w:rsidRPr="003B2B8C" w:rsidRDefault="003B2B8C">
            <w:pPr>
              <w:widowControl w:val="0"/>
              <w:spacing w:after="0" w:line="240" w:lineRule="auto"/>
              <w:rPr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>v mil</w:t>
            </w:r>
            <w:r w:rsidR="00995FC7" w:rsidRPr="003B2B8C">
              <w:rPr>
                <w:color w:val="0A0F0A"/>
                <w:highlight w:val="white"/>
                <w:lang w:val="cs-CZ"/>
              </w:rPr>
              <w:t>.</w:t>
            </w:r>
            <w:r w:rsidRPr="003B2B8C">
              <w:rPr>
                <w:color w:val="0A0F0A"/>
                <w:highlight w:val="white"/>
                <w:lang w:val="cs-CZ"/>
              </w:rPr>
              <w:t xml:space="preserve"> </w:t>
            </w:r>
            <w:r w:rsidR="00995FC7" w:rsidRPr="003B2B8C">
              <w:rPr>
                <w:color w:val="0A0F0A"/>
                <w:highlight w:val="white"/>
                <w:lang w:val="cs-CZ"/>
              </w:rPr>
              <w:t>eur</w:t>
            </w:r>
            <w:r w:rsidRPr="003B2B8C">
              <w:rPr>
                <w:color w:val="0A0F0A"/>
                <w:highlight w:val="white"/>
                <w:lang w:val="cs-CZ"/>
              </w:rPr>
              <w:t xml:space="preserve"> 2. čtvrtletí 2025 </w:t>
            </w:r>
            <w:r w:rsidR="00995FC7" w:rsidRPr="003B2B8C">
              <w:rPr>
                <w:color w:val="0A0F0A"/>
                <w:highlight w:val="white"/>
                <w:lang w:val="cs-CZ"/>
              </w:rPr>
              <w:t xml:space="preserve">                   </w:t>
            </w:r>
            <w:r w:rsidRPr="003B2B8C">
              <w:rPr>
                <w:color w:val="0A0F0A"/>
                <w:highlight w:val="white"/>
                <w:lang w:val="cs-CZ"/>
              </w:rPr>
              <w:t>(předchozí rok)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7E7F" w14:textId="77777777" w:rsidR="00E82272" w:rsidRPr="003B2B8C" w:rsidRDefault="003B2B8C">
            <w:pPr>
              <w:widowControl w:val="0"/>
              <w:spacing w:after="0" w:line="240" w:lineRule="auto"/>
              <w:rPr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>P&amp;P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9AB7" w14:textId="77777777" w:rsidR="00E82272" w:rsidRPr="003B2B8C" w:rsidRDefault="003B2B8C">
            <w:pPr>
              <w:widowControl w:val="0"/>
              <w:spacing w:after="0" w:line="240" w:lineRule="auto"/>
              <w:rPr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>S&amp;T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2A62" w14:textId="60BE887B" w:rsidR="00E82272" w:rsidRPr="003B2B8C" w:rsidRDefault="00995FC7">
            <w:pPr>
              <w:widowControl w:val="0"/>
              <w:spacing w:after="0" w:line="240" w:lineRule="auto"/>
              <w:rPr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Převod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CB85" w14:textId="77777777" w:rsidR="00E82272" w:rsidRPr="003B2B8C" w:rsidRDefault="003B2B8C">
            <w:pPr>
              <w:widowControl w:val="0"/>
              <w:spacing w:after="0" w:line="240" w:lineRule="auto"/>
              <w:rPr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>Skupina</w:t>
            </w:r>
          </w:p>
        </w:tc>
      </w:tr>
      <w:tr w:rsidR="00E82272" w:rsidRPr="003B2B8C" w14:paraId="12148CB4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1F7D" w14:textId="77777777" w:rsidR="00E82272" w:rsidRPr="003B2B8C" w:rsidRDefault="003B2B8C">
            <w:pPr>
              <w:widowControl w:val="0"/>
              <w:spacing w:after="0" w:line="240" w:lineRule="auto"/>
              <w:rPr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>Příchozí objednávky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D883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177,6 </w:t>
            </w:r>
            <w:r w:rsidRPr="003B2B8C">
              <w:rPr>
                <w:i/>
                <w:color w:val="0A0F0A"/>
                <w:highlight w:val="white"/>
                <w:lang w:val="cs-CZ"/>
              </w:rPr>
              <w:t xml:space="preserve">(179,1)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F079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187,8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(225,3)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F09BD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-3,7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(-5,8)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8D90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361,7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(398,6)</w:t>
            </w:r>
          </w:p>
        </w:tc>
      </w:tr>
      <w:tr w:rsidR="00E82272" w:rsidRPr="003B2B8C" w14:paraId="6B4D1487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6A27E" w14:textId="77777777" w:rsidR="00E82272" w:rsidRPr="003B2B8C" w:rsidRDefault="003B2B8C">
            <w:pPr>
              <w:widowControl w:val="0"/>
              <w:spacing w:after="0" w:line="240" w:lineRule="auto"/>
              <w:rPr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Obrat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9218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157,3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(149,4)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55FC9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148,6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(135,2)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87D49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-7,7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(-5,8)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1622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298,2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(278,8)</w:t>
            </w:r>
          </w:p>
        </w:tc>
      </w:tr>
      <w:tr w:rsidR="00E82272" w:rsidRPr="003B2B8C" w14:paraId="10710319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7AC1" w14:textId="77777777" w:rsidR="00E82272" w:rsidRPr="003B2B8C" w:rsidRDefault="003B2B8C">
            <w:pPr>
              <w:widowControl w:val="0"/>
              <w:spacing w:after="0" w:line="240" w:lineRule="auto"/>
              <w:rPr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>EBIT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6ED64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-0,1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(-8,1)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E06C6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0,1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(-17,2)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68DB4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0,4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(1,6)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71FF0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0,4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(-23,7)</w:t>
            </w:r>
          </w:p>
        </w:tc>
      </w:tr>
      <w:tr w:rsidR="00E82272" w:rsidRPr="003B2B8C" w14:paraId="5704BDAC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7F71" w14:textId="6DB925D1" w:rsidR="00E82272" w:rsidRPr="003B2B8C" w:rsidRDefault="00995FC7">
            <w:pPr>
              <w:widowControl w:val="0"/>
              <w:spacing w:after="0" w:line="240" w:lineRule="auto"/>
              <w:rPr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>Operativní EBIT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5F614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-0,1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(-8,1)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E49E9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1,1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(-14,8)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6582B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0,8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(2,0)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5273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1,8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(-20,9)</w:t>
            </w:r>
          </w:p>
        </w:tc>
      </w:tr>
      <w:tr w:rsidR="00E82272" w:rsidRPr="003B2B8C" w14:paraId="6A5B38C7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5CA7" w14:textId="65F906EE" w:rsidR="00E82272" w:rsidRPr="003B2B8C" w:rsidRDefault="00995FC7">
            <w:pPr>
              <w:widowControl w:val="0"/>
              <w:spacing w:after="0" w:line="240" w:lineRule="auto"/>
              <w:rPr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>Operativní EBIT očištěný o veletrh drupa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6576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-0,1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(-3,7)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1DD5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1,1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(-14,3)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A5688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0,8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(3,3)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9DA8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1,8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(-14,7)</w:t>
            </w:r>
          </w:p>
        </w:tc>
      </w:tr>
      <w:tr w:rsidR="00E82272" w:rsidRPr="003B2B8C" w14:paraId="37664628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E2925" w14:textId="77777777" w:rsidR="00E82272" w:rsidRPr="003B2B8C" w:rsidRDefault="003B2B8C">
            <w:pPr>
              <w:widowControl w:val="0"/>
              <w:spacing w:after="0" w:line="240" w:lineRule="auto"/>
              <w:rPr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Objem </w:t>
            </w:r>
            <w:r w:rsidRPr="003B2B8C">
              <w:rPr>
                <w:color w:val="0A0F0A"/>
                <w:highlight w:val="white"/>
                <w:lang w:val="cs-CZ"/>
              </w:rPr>
              <w:t>nevyřízených objednávek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5E22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448,5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(469,5)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3B8F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648,7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(548,4)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A482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-0,9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(3,1)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D49D" w14:textId="77777777" w:rsidR="00E82272" w:rsidRPr="003B2B8C" w:rsidRDefault="003B2B8C">
            <w:pPr>
              <w:widowControl w:val="0"/>
              <w:spacing w:after="0" w:line="240" w:lineRule="auto"/>
              <w:rPr>
                <w:i/>
                <w:color w:val="0A0F0A"/>
                <w:highlight w:val="white"/>
                <w:lang w:val="cs-CZ"/>
              </w:rPr>
            </w:pPr>
            <w:r w:rsidRPr="003B2B8C">
              <w:rPr>
                <w:color w:val="0A0F0A"/>
                <w:highlight w:val="white"/>
                <w:lang w:val="cs-CZ"/>
              </w:rPr>
              <w:t xml:space="preserve">1.096,3 </w:t>
            </w:r>
            <w:r w:rsidRPr="003B2B8C">
              <w:rPr>
                <w:i/>
                <w:color w:val="0A0F0A"/>
                <w:highlight w:val="white"/>
                <w:lang w:val="cs-CZ"/>
              </w:rPr>
              <w:t>(1.021,0)</w:t>
            </w:r>
          </w:p>
        </w:tc>
      </w:tr>
    </w:tbl>
    <w:p w14:paraId="699E2C11" w14:textId="77777777" w:rsidR="00E82272" w:rsidRPr="003B2B8C" w:rsidRDefault="003B2B8C">
      <w:pPr>
        <w:tabs>
          <w:tab w:val="left" w:pos="850"/>
        </w:tabs>
        <w:spacing w:before="240"/>
        <w:jc w:val="both"/>
        <w:rPr>
          <w:lang w:val="cs-CZ"/>
        </w:rPr>
      </w:pPr>
      <w:r w:rsidRPr="003B2B8C">
        <w:rPr>
          <w:color w:val="0A0F0A"/>
          <w:highlight w:val="white"/>
          <w:lang w:val="cs-CZ"/>
        </w:rPr>
        <w:br/>
        <w:t>Společnost Koenig &amp; Bauer zveřejní úplné finanční údaje za druhé čtvrtletí a první pololetí roku 2025 dne 6. srpna 2025.</w:t>
      </w:r>
    </w:p>
    <w:p w14:paraId="740D8993" w14:textId="77777777" w:rsidR="00E82272" w:rsidRPr="003B2B8C" w:rsidRDefault="00E82272">
      <w:pPr>
        <w:rPr>
          <w:lang w:val="cs-CZ"/>
        </w:rPr>
      </w:pPr>
    </w:p>
    <w:p w14:paraId="4663C0D7" w14:textId="77777777" w:rsidR="00E82272" w:rsidRPr="003B2B8C" w:rsidRDefault="003B2B8C">
      <w:pPr>
        <w:pStyle w:val="Nadpis4"/>
        <w:rPr>
          <w:lang w:val="cs-CZ"/>
        </w:rPr>
      </w:pPr>
      <w:bookmarkStart w:id="7" w:name="_2et92p0" w:colFirst="0" w:colLast="0"/>
      <w:bookmarkEnd w:id="7"/>
      <w:r w:rsidRPr="003B2B8C">
        <w:rPr>
          <w:lang w:val="cs-CZ"/>
        </w:rPr>
        <w:t>Foto:</w:t>
      </w:r>
    </w:p>
    <w:p w14:paraId="7BE9DC6E" w14:textId="35C9C4A4" w:rsidR="00E82272" w:rsidRPr="003B2B8C" w:rsidRDefault="003B2B8C">
      <w:pPr>
        <w:rPr>
          <w:lang w:val="cs-CZ"/>
        </w:rPr>
      </w:pPr>
      <w:r w:rsidRPr="003B2B8C">
        <w:rPr>
          <w:lang w:val="cs-CZ"/>
        </w:rPr>
        <w:t xml:space="preserve">Koenig &amp; Bauer potvrzuje výhled s </w:t>
      </w:r>
      <w:r w:rsidRPr="003B2B8C">
        <w:rPr>
          <w:lang w:val="cs-CZ"/>
        </w:rPr>
        <w:t>výrazným zlepšením zisku ve druhém čtvrtletí</w:t>
      </w:r>
      <w:r>
        <w:rPr>
          <w:lang w:val="cs-CZ"/>
        </w:rPr>
        <w:t>,</w:t>
      </w:r>
      <w:r w:rsidRPr="003B2B8C">
        <w:rPr>
          <w:lang w:val="cs-CZ"/>
        </w:rPr>
        <w:t xml:space="preserve"> zahájena revize budoucího směřování společnosti Coding GmbH</w:t>
      </w:r>
      <w:r w:rsidRPr="003B2B8C">
        <w:rPr>
          <w:lang w:val="cs-CZ"/>
        </w:rPr>
        <w:br/>
      </w:r>
      <w:r w:rsidR="00995FC7" w:rsidRPr="003B2B8C">
        <w:rPr>
          <w:lang w:val="cs-CZ"/>
        </w:rPr>
        <w:t>©</w:t>
      </w:r>
      <w:r w:rsidRPr="003B2B8C">
        <w:rPr>
          <w:lang w:val="cs-CZ"/>
        </w:rPr>
        <w:t>Koenig &amp; Bauer</w:t>
      </w:r>
    </w:p>
    <w:p w14:paraId="55BA707B" w14:textId="77777777" w:rsidR="00E82272" w:rsidRPr="003B2B8C" w:rsidRDefault="00E82272">
      <w:pPr>
        <w:pStyle w:val="Nadpis4"/>
        <w:rPr>
          <w:lang w:val="cs-CZ"/>
        </w:rPr>
      </w:pPr>
      <w:bookmarkStart w:id="8" w:name="_vqczpht2i599" w:colFirst="0" w:colLast="0"/>
      <w:bookmarkEnd w:id="8"/>
    </w:p>
    <w:p w14:paraId="62B4413C" w14:textId="77777777" w:rsidR="00995FC7" w:rsidRPr="003B2B8C" w:rsidRDefault="00995FC7" w:rsidP="00995FC7">
      <w:pPr>
        <w:rPr>
          <w:lang w:val="cs-CZ"/>
        </w:rPr>
      </w:pPr>
    </w:p>
    <w:p w14:paraId="4445AE95" w14:textId="77777777" w:rsidR="00995FC7" w:rsidRPr="003B2B8C" w:rsidRDefault="00995FC7" w:rsidP="00995FC7">
      <w:pPr>
        <w:rPr>
          <w:lang w:val="cs-CZ"/>
        </w:rPr>
      </w:pPr>
    </w:p>
    <w:p w14:paraId="0E880A9F" w14:textId="77777777" w:rsidR="00995FC7" w:rsidRPr="003B2B8C" w:rsidRDefault="00995FC7" w:rsidP="00995FC7">
      <w:pPr>
        <w:rPr>
          <w:lang w:val="cs-CZ"/>
        </w:rPr>
      </w:pPr>
    </w:p>
    <w:p w14:paraId="32DBAC38" w14:textId="77777777" w:rsidR="00995FC7" w:rsidRPr="003B2B8C" w:rsidRDefault="00995FC7" w:rsidP="00995FC7">
      <w:pPr>
        <w:rPr>
          <w:lang w:val="cs-CZ"/>
        </w:rPr>
      </w:pPr>
    </w:p>
    <w:p w14:paraId="089818B5" w14:textId="77777777" w:rsidR="00995FC7" w:rsidRPr="003B2B8C" w:rsidRDefault="00995FC7" w:rsidP="00995FC7">
      <w:pPr>
        <w:rPr>
          <w:lang w:val="cs-CZ"/>
        </w:rPr>
      </w:pPr>
    </w:p>
    <w:p w14:paraId="6C79F6B9" w14:textId="5FF0476C" w:rsidR="00E82272" w:rsidRPr="003B2B8C" w:rsidRDefault="003B2B8C">
      <w:pPr>
        <w:pStyle w:val="Nadpis4"/>
        <w:rPr>
          <w:lang w:val="cs-CZ"/>
        </w:rPr>
      </w:pPr>
      <w:bookmarkStart w:id="9" w:name="_bby6l1y23dui" w:colFirst="0" w:colLast="0"/>
      <w:bookmarkEnd w:id="9"/>
      <w:r w:rsidRPr="003B2B8C">
        <w:rPr>
          <w:lang w:val="cs-CZ"/>
        </w:rPr>
        <w:t>Kontakt</w:t>
      </w:r>
      <w:r w:rsidR="00995FC7" w:rsidRPr="003B2B8C">
        <w:rPr>
          <w:lang w:val="cs-CZ"/>
        </w:rPr>
        <w:t>ní osoba</w:t>
      </w:r>
      <w:r w:rsidRPr="003B2B8C">
        <w:rPr>
          <w:lang w:val="cs-CZ"/>
        </w:rPr>
        <w:t xml:space="preserve"> pro </w:t>
      </w:r>
      <w:r w:rsidR="00995FC7" w:rsidRPr="003B2B8C">
        <w:rPr>
          <w:lang w:val="cs-CZ"/>
        </w:rPr>
        <w:t>Investor Relations</w:t>
      </w:r>
    </w:p>
    <w:p w14:paraId="1DFB0175" w14:textId="5F5E70A8" w:rsidR="00E82272" w:rsidRPr="003B2B8C" w:rsidRDefault="003B2B8C">
      <w:pPr>
        <w:rPr>
          <w:lang w:val="cs-CZ"/>
        </w:rPr>
      </w:pPr>
      <w:r w:rsidRPr="003B2B8C">
        <w:rPr>
          <w:lang w:val="cs-CZ"/>
        </w:rPr>
        <w:t>Koenig &amp; Bauer AG</w:t>
      </w:r>
      <w:r w:rsidRPr="003B2B8C">
        <w:rPr>
          <w:lang w:val="cs-CZ"/>
        </w:rPr>
        <w:br/>
        <w:t>Lena Landenberger</w:t>
      </w:r>
      <w:r w:rsidR="00995FC7" w:rsidRPr="003B2B8C">
        <w:rPr>
          <w:lang w:val="cs-CZ"/>
        </w:rPr>
        <w:t>ová</w:t>
      </w:r>
      <w:r w:rsidRPr="003B2B8C">
        <w:rPr>
          <w:lang w:val="cs-CZ"/>
        </w:rPr>
        <w:br/>
      </w:r>
      <w:r w:rsidRPr="003B2B8C">
        <w:rPr>
          <w:lang w:val="cs-CZ"/>
        </w:rPr>
        <w:lastRenderedPageBreak/>
        <w:t>+49 931 909 4085</w:t>
      </w:r>
      <w:r w:rsidRPr="003B2B8C">
        <w:rPr>
          <w:lang w:val="cs-CZ"/>
        </w:rPr>
        <w:br/>
      </w:r>
      <w:hyperlink r:id="rId7">
        <w:r w:rsidR="00E82272" w:rsidRPr="003B2B8C">
          <w:rPr>
            <w:color w:val="1155CC"/>
            <w:u w:val="single"/>
            <w:lang w:val="cs-CZ"/>
          </w:rPr>
          <w:t>lena.landenberger@koenig-bauer.com</w:t>
        </w:r>
      </w:hyperlink>
    </w:p>
    <w:p w14:paraId="4173AEDC" w14:textId="5EAD7795" w:rsidR="00E82272" w:rsidRPr="003B2B8C" w:rsidRDefault="003B2B8C">
      <w:pPr>
        <w:pStyle w:val="Nadpis4"/>
        <w:rPr>
          <w:lang w:val="cs-CZ"/>
        </w:rPr>
      </w:pPr>
      <w:bookmarkStart w:id="10" w:name="_qdlecb9g5rs0" w:colFirst="0" w:colLast="0"/>
      <w:bookmarkEnd w:id="10"/>
      <w:r w:rsidRPr="003B2B8C">
        <w:rPr>
          <w:lang w:val="cs-CZ"/>
        </w:rPr>
        <w:t>Kontakt</w:t>
      </w:r>
      <w:r w:rsidR="00995FC7" w:rsidRPr="003B2B8C">
        <w:rPr>
          <w:lang w:val="cs-CZ"/>
        </w:rPr>
        <w:t>ní osoba</w:t>
      </w:r>
      <w:r w:rsidRPr="003B2B8C">
        <w:rPr>
          <w:lang w:val="cs-CZ"/>
        </w:rPr>
        <w:t xml:space="preserve"> pro tisk</w:t>
      </w:r>
    </w:p>
    <w:p w14:paraId="0E080118" w14:textId="4CEEF12F" w:rsidR="00E82272" w:rsidRPr="003B2B8C" w:rsidRDefault="003B2B8C">
      <w:pPr>
        <w:rPr>
          <w:lang w:val="cs-CZ"/>
        </w:rPr>
      </w:pPr>
      <w:r w:rsidRPr="003B2B8C">
        <w:rPr>
          <w:lang w:val="cs-CZ"/>
        </w:rPr>
        <w:t>Koenig &amp; Bauer AG</w:t>
      </w:r>
      <w:r w:rsidRPr="003B2B8C">
        <w:rPr>
          <w:lang w:val="cs-CZ"/>
        </w:rPr>
        <w:br/>
        <w:t>Dagmar Ringel</w:t>
      </w:r>
      <w:r w:rsidR="00995FC7" w:rsidRPr="003B2B8C">
        <w:rPr>
          <w:lang w:val="cs-CZ"/>
        </w:rPr>
        <w:t>ová</w:t>
      </w:r>
      <w:r w:rsidRPr="003B2B8C">
        <w:rPr>
          <w:lang w:val="cs-CZ"/>
        </w:rPr>
        <w:br/>
        <w:t>+49 931 909 6756</w:t>
      </w:r>
      <w:r w:rsidRPr="003B2B8C">
        <w:rPr>
          <w:lang w:val="cs-CZ"/>
        </w:rPr>
        <w:br/>
      </w:r>
      <w:hyperlink r:id="rId8">
        <w:r w:rsidR="00E82272" w:rsidRPr="003B2B8C">
          <w:rPr>
            <w:color w:val="1155CC"/>
            <w:u w:val="single"/>
            <w:lang w:val="cs-CZ"/>
          </w:rPr>
          <w:t>dagmar.ringel@koenig-bauer.com</w:t>
        </w:r>
      </w:hyperlink>
    </w:p>
    <w:p w14:paraId="641EC105" w14:textId="77777777" w:rsidR="00E82272" w:rsidRPr="003B2B8C" w:rsidRDefault="00E82272">
      <w:pPr>
        <w:rPr>
          <w:lang w:val="cs-CZ"/>
        </w:rPr>
      </w:pPr>
    </w:p>
    <w:p w14:paraId="0ADFCBB7" w14:textId="77777777" w:rsidR="00E82272" w:rsidRPr="003B2B8C" w:rsidRDefault="003B2B8C">
      <w:pPr>
        <w:pStyle w:val="Nadpis4"/>
        <w:rPr>
          <w:lang w:val="cs-CZ"/>
        </w:rPr>
      </w:pPr>
      <w:bookmarkStart w:id="11" w:name="_1avzd2u4s99f" w:colFirst="0" w:colLast="0"/>
      <w:bookmarkEnd w:id="11"/>
      <w:r w:rsidRPr="003B2B8C">
        <w:rPr>
          <w:lang w:val="cs-CZ"/>
        </w:rPr>
        <w:t>Kontakt pro fúze a akvizice</w:t>
      </w:r>
    </w:p>
    <w:p w14:paraId="4696D85D" w14:textId="619A7FA4" w:rsidR="00E82272" w:rsidRPr="003B2B8C" w:rsidRDefault="003B2B8C">
      <w:pPr>
        <w:rPr>
          <w:lang w:val="cs-CZ"/>
        </w:rPr>
      </w:pPr>
      <w:r w:rsidRPr="003B2B8C">
        <w:rPr>
          <w:lang w:val="cs-CZ"/>
        </w:rPr>
        <w:t>Koenig &amp; Bauer AG</w:t>
      </w:r>
      <w:r w:rsidRPr="003B2B8C">
        <w:rPr>
          <w:lang w:val="cs-CZ"/>
        </w:rPr>
        <w:br/>
        <w:t>Lisa Knoops</w:t>
      </w:r>
      <w:r w:rsidR="00995FC7" w:rsidRPr="003B2B8C">
        <w:rPr>
          <w:lang w:val="cs-CZ"/>
        </w:rPr>
        <w:t>ová</w:t>
      </w:r>
      <w:r w:rsidRPr="003B2B8C">
        <w:rPr>
          <w:lang w:val="cs-CZ"/>
        </w:rPr>
        <w:br/>
        <w:t>+49 931 909 6292</w:t>
      </w:r>
      <w:r w:rsidRPr="003B2B8C">
        <w:rPr>
          <w:lang w:val="cs-CZ"/>
        </w:rPr>
        <w:br/>
      </w:r>
      <w:hyperlink r:id="rId9">
        <w:r w:rsidR="00E82272" w:rsidRPr="003B2B8C">
          <w:rPr>
            <w:color w:val="1155CC"/>
            <w:u w:val="single"/>
            <w:lang w:val="cs-CZ"/>
          </w:rPr>
          <w:t>lisa.knoops@koenig-bauer.com</w:t>
        </w:r>
      </w:hyperlink>
    </w:p>
    <w:p w14:paraId="23F73A0F" w14:textId="77777777" w:rsidR="00E82272" w:rsidRPr="003B2B8C" w:rsidRDefault="00E82272">
      <w:pPr>
        <w:rPr>
          <w:lang w:val="cs-CZ"/>
        </w:rPr>
      </w:pPr>
    </w:p>
    <w:p w14:paraId="3B33DDC9" w14:textId="77777777" w:rsidR="00A84503" w:rsidRPr="003B2B8C" w:rsidRDefault="003B2B8C" w:rsidP="00A84503">
      <w:pPr>
        <w:shd w:val="clear" w:color="auto" w:fill="FFFFFF"/>
        <w:spacing w:line="250" w:lineRule="auto"/>
        <w:ind w:hanging="2"/>
        <w:rPr>
          <w:highlight w:val="yellow"/>
          <w:lang w:val="cs-CZ"/>
        </w:rPr>
      </w:pPr>
      <w:r w:rsidRPr="003B2B8C">
        <w:rPr>
          <w:b/>
          <w:lang w:val="cs-CZ"/>
        </w:rPr>
        <w:t>O společnosti Koenig &amp; Bauer</w:t>
      </w:r>
      <w:r w:rsidRPr="003B2B8C">
        <w:rPr>
          <w:lang w:val="cs-CZ"/>
        </w:rPr>
        <w:br/>
      </w:r>
      <w:r w:rsidR="00A84503" w:rsidRPr="003B2B8C">
        <w:rPr>
          <w:highlight w:val="white"/>
          <w:lang w:val="cs-CZ"/>
        </w:rPr>
        <w:t>Společnost Koenig &amp; Bauer, se sídlem ve Würzburgu (Německo), je předním světovým výrobcem tiskových strojů. Nabízí tiskové stroje a softwarová řešení pro celý proces tisku a následné zpracování se zaměřením na technologii obalů. Tiskové stroje Koenig &amp; Bauer dokáží potisknout téměř všechny materiály - od bankovek, přes obaly z kartonu, vlnité lepenky, fólie, plechu a skla, až po knihy, displeje, etikety, dekory, časopisy, reklamní tiskoviny a noviny. S více než 200letou historií je Koenig &amp; Bauer nejstarším výrobcem tiskových strojů na světě a ovládá téměř všechny tiskové postupy. V celé skupině pracuje 5 600 zaměstnanců. Koenig &amp; Bauer vyrábí v jedenácti závodech v Evropě a udržuje celosvětovou prodejní a servisní síť. Tržby skupiny ve finančním roce 2024 činily přibližně 1,3 miliardy eur.</w:t>
      </w:r>
    </w:p>
    <w:p w14:paraId="33026C8B" w14:textId="77777777" w:rsidR="00E82272" w:rsidRPr="003B2B8C" w:rsidRDefault="003B2B8C">
      <w:pPr>
        <w:shd w:val="clear" w:color="auto" w:fill="FFFFFF"/>
        <w:spacing w:line="250" w:lineRule="auto"/>
        <w:ind w:hanging="2"/>
        <w:rPr>
          <w:lang w:val="cs-CZ"/>
        </w:rPr>
      </w:pPr>
      <w:r w:rsidRPr="003B2B8C">
        <w:rPr>
          <w:highlight w:val="white"/>
          <w:lang w:val="cs-CZ"/>
        </w:rPr>
        <w:t xml:space="preserve">Další informace na </w:t>
      </w:r>
      <w:r w:rsidRPr="003B2B8C">
        <w:rPr>
          <w:color w:val="222222"/>
          <w:highlight w:val="white"/>
          <w:lang w:val="cs-CZ"/>
        </w:rPr>
        <w:t xml:space="preserve">www.koenig-bauer.com </w:t>
      </w:r>
    </w:p>
    <w:sectPr w:rsidR="00E82272" w:rsidRPr="003B2B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1" w:right="1418" w:bottom="1361" w:left="1418" w:header="1020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EC66" w14:textId="77777777" w:rsidR="00A20404" w:rsidRDefault="00A20404">
      <w:pPr>
        <w:spacing w:after="0" w:line="240" w:lineRule="auto"/>
      </w:pPr>
      <w:r>
        <w:separator/>
      </w:r>
    </w:p>
  </w:endnote>
  <w:endnote w:type="continuationSeparator" w:id="0">
    <w:p w14:paraId="0F022013" w14:textId="77777777" w:rsidR="00A20404" w:rsidRDefault="00A2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C5694" w14:textId="77777777" w:rsidR="00E82272" w:rsidRDefault="00E82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4FCA" w14:textId="77777777" w:rsidR="00E82272" w:rsidRPr="003B2B8C" w:rsidRDefault="00E8227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  <w:lang w:val="cs-CZ"/>
      </w:rPr>
    </w:pPr>
  </w:p>
  <w:tbl>
    <w:tblPr>
      <w:tblStyle w:val="a1"/>
      <w:tblW w:w="9060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BFBFBF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3660"/>
      <w:gridCol w:w="5400"/>
    </w:tblGrid>
    <w:tr w:rsidR="00E82272" w:rsidRPr="003B2B8C" w14:paraId="4EF64F07" w14:textId="77777777">
      <w:tc>
        <w:tcPr>
          <w:tcW w:w="3660" w:type="dxa"/>
        </w:tcPr>
        <w:p w14:paraId="7A03D36B" w14:textId="77777777" w:rsidR="00E82272" w:rsidRPr="003B2B8C" w:rsidRDefault="00E822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14"/>
              <w:szCs w:val="14"/>
              <w:lang w:val="cs-CZ"/>
            </w:rPr>
          </w:pPr>
        </w:p>
      </w:tc>
      <w:tc>
        <w:tcPr>
          <w:tcW w:w="5400" w:type="dxa"/>
        </w:tcPr>
        <w:p w14:paraId="7FD2A44E" w14:textId="2BA27274" w:rsidR="00E82272" w:rsidRPr="003B2B8C" w:rsidRDefault="003B2B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right"/>
            <w:rPr>
              <w:color w:val="000000"/>
              <w:sz w:val="14"/>
              <w:szCs w:val="14"/>
              <w:lang w:val="cs-CZ"/>
            </w:rPr>
          </w:pPr>
          <w:r w:rsidRPr="003B2B8C">
            <w:rPr>
              <w:sz w:val="14"/>
              <w:szCs w:val="14"/>
              <w:lang w:val="cs-CZ"/>
            </w:rPr>
            <w:t xml:space="preserve">Koenig &amp; Bauer potvrzuje výhled s výrazným zlepšením zisku ve druhém čtvrtletí </w:t>
          </w:r>
          <w:r w:rsidRPr="003B2B8C">
            <w:rPr>
              <w:color w:val="000000"/>
              <w:sz w:val="14"/>
              <w:szCs w:val="14"/>
              <w:lang w:val="cs-CZ"/>
            </w:rPr>
            <w:t xml:space="preserve">| </w:t>
          </w:r>
          <w:r w:rsidRPr="003B2B8C">
            <w:rPr>
              <w:color w:val="000000"/>
              <w:sz w:val="14"/>
              <w:szCs w:val="14"/>
              <w:lang w:val="cs-CZ"/>
            </w:rPr>
            <w:fldChar w:fldCharType="begin"/>
          </w:r>
          <w:r w:rsidRPr="003B2B8C">
            <w:rPr>
              <w:color w:val="000000"/>
              <w:sz w:val="14"/>
              <w:szCs w:val="14"/>
              <w:lang w:val="cs-CZ"/>
            </w:rPr>
            <w:instrText>PAGE</w:instrText>
          </w:r>
          <w:r w:rsidRPr="003B2B8C">
            <w:rPr>
              <w:color w:val="000000"/>
              <w:sz w:val="14"/>
              <w:szCs w:val="14"/>
              <w:lang w:val="cs-CZ"/>
            </w:rPr>
            <w:fldChar w:fldCharType="separate"/>
          </w:r>
          <w:r w:rsidR="007B73B9" w:rsidRPr="003B2B8C">
            <w:rPr>
              <w:noProof/>
              <w:color w:val="000000"/>
              <w:sz w:val="14"/>
              <w:szCs w:val="14"/>
              <w:lang w:val="cs-CZ"/>
            </w:rPr>
            <w:t>1</w:t>
          </w:r>
          <w:r w:rsidRPr="003B2B8C">
            <w:rPr>
              <w:color w:val="000000"/>
              <w:sz w:val="14"/>
              <w:szCs w:val="14"/>
              <w:lang w:val="cs-CZ"/>
            </w:rPr>
            <w:fldChar w:fldCharType="end"/>
          </w:r>
        </w:p>
      </w:tc>
    </w:tr>
  </w:tbl>
  <w:p w14:paraId="5A42A1C6" w14:textId="77777777" w:rsidR="00E82272" w:rsidRPr="003B2B8C" w:rsidRDefault="00E82272" w:rsidP="003B2B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  <w:sz w:val="14"/>
        <w:szCs w:val="14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2F09" w14:textId="77777777" w:rsidR="00E82272" w:rsidRDefault="00E8227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0"/>
      <w:tblW w:w="9781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il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2552"/>
      <w:gridCol w:w="4536"/>
      <w:gridCol w:w="2693"/>
    </w:tblGrid>
    <w:tr w:rsidR="00E82272" w14:paraId="3D0E746A" w14:textId="77777777">
      <w:trPr>
        <w:trHeight w:val="620"/>
      </w:trPr>
      <w:tc>
        <w:tcPr>
          <w:tcW w:w="2552" w:type="dxa"/>
        </w:tcPr>
        <w:p w14:paraId="25013241" w14:textId="77777777" w:rsidR="00E82272" w:rsidRDefault="00E8227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4536" w:type="dxa"/>
        </w:tcPr>
        <w:p w14:paraId="39F1B41E" w14:textId="77777777" w:rsidR="00E82272" w:rsidRDefault="00E8227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2693" w:type="dxa"/>
        </w:tcPr>
        <w:p w14:paraId="0897A7D6" w14:textId="77777777" w:rsidR="00E82272" w:rsidRDefault="00E8227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</w:tr>
  </w:tbl>
  <w:p w14:paraId="6E94DEC5" w14:textId="77777777" w:rsidR="00E82272" w:rsidRDefault="00E82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sz w:val="14"/>
        <w:szCs w:val="14"/>
      </w:rPr>
    </w:pPr>
  </w:p>
  <w:p w14:paraId="60332AB8" w14:textId="77777777" w:rsidR="00E82272" w:rsidRDefault="003B2B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>PAGE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B9136" w14:textId="77777777" w:rsidR="00A20404" w:rsidRDefault="00A20404">
      <w:pPr>
        <w:spacing w:after="0" w:line="240" w:lineRule="auto"/>
      </w:pPr>
      <w:r>
        <w:separator/>
      </w:r>
    </w:p>
  </w:footnote>
  <w:footnote w:type="continuationSeparator" w:id="0">
    <w:p w14:paraId="2A4AF2E0" w14:textId="77777777" w:rsidR="00A20404" w:rsidRDefault="00A2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4F428" w14:textId="77777777" w:rsidR="00E82272" w:rsidRDefault="00E82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49C6" w14:textId="77777777" w:rsidR="00E82272" w:rsidRDefault="003B2B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</w:rPr>
      <w:drawing>
        <wp:inline distT="0" distB="0" distL="0" distR="0" wp14:anchorId="40D80580" wp14:editId="3A57D691">
          <wp:extent cx="2523600" cy="216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8A892" w14:textId="77777777" w:rsidR="00E82272" w:rsidRDefault="003B2B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</w:rPr>
      <w:drawing>
        <wp:inline distT="0" distB="0" distL="0" distR="0" wp14:anchorId="56CF5510" wp14:editId="6AFF1F3A">
          <wp:extent cx="2524721" cy="2160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7B79"/>
    <w:multiLevelType w:val="multilevel"/>
    <w:tmpl w:val="2FE2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F043F5"/>
    <w:multiLevelType w:val="multilevel"/>
    <w:tmpl w:val="F5E63C64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eastAsia="Times New Roman" w:hAnsi="Times New Roman" w:cs="Times New Roman"/>
      </w:rPr>
    </w:lvl>
  </w:abstractNum>
  <w:num w:numId="1" w16cid:durableId="2096703341">
    <w:abstractNumId w:val="1"/>
  </w:num>
  <w:num w:numId="2" w16cid:durableId="67083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72"/>
    <w:rsid w:val="000109DA"/>
    <w:rsid w:val="003B2B8C"/>
    <w:rsid w:val="00524F29"/>
    <w:rsid w:val="00621831"/>
    <w:rsid w:val="007B73B9"/>
    <w:rsid w:val="00827CAE"/>
    <w:rsid w:val="008C1999"/>
    <w:rsid w:val="0094303F"/>
    <w:rsid w:val="00995FC7"/>
    <w:rsid w:val="00A20404"/>
    <w:rsid w:val="00A84503"/>
    <w:rsid w:val="00B80BEF"/>
    <w:rsid w:val="00BC7306"/>
    <w:rsid w:val="00C57598"/>
    <w:rsid w:val="00D92ED2"/>
    <w:rsid w:val="00E328A6"/>
    <w:rsid w:val="00E82272"/>
    <w:rsid w:val="00EB0BF6"/>
    <w:rsid w:val="00F073C3"/>
    <w:rsid w:val="00F24EFE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F9F26"/>
  <w15:docId w15:val="{578E5B32-BE13-4C85-9A8F-CD83DF73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line="240" w:lineRule="auto"/>
      <w:outlineLvl w:val="0"/>
    </w:pPr>
    <w:rPr>
      <w:b/>
      <w:color w:val="002355"/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after="0"/>
      <w:outlineLvl w:val="1"/>
    </w:pPr>
    <w:rPr>
      <w:b/>
      <w:color w:val="002355"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after="0"/>
      <w:outlineLvl w:val="2"/>
    </w:pPr>
    <w:rPr>
      <w:b/>
      <w:color w:val="002355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after="0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after="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after="0"/>
      <w:outlineLvl w:val="5"/>
    </w:pPr>
    <w:rPr>
      <w:b/>
      <w:color w:val="00112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tabs>
        <w:tab w:val="left" w:pos="850"/>
      </w:tabs>
      <w:spacing w:before="840" w:after="600" w:line="240" w:lineRule="auto"/>
    </w:pPr>
    <w:rPr>
      <w:b/>
      <w:color w:val="002355"/>
      <w:sz w:val="60"/>
      <w:szCs w:val="60"/>
    </w:rPr>
  </w:style>
  <w:style w:type="paragraph" w:styleId="Podnadpis">
    <w:name w:val="Subtitle"/>
    <w:basedOn w:val="Normln"/>
    <w:next w:val="Normln"/>
    <w:uiPriority w:val="11"/>
    <w:qFormat/>
    <w:pPr>
      <w:spacing w:line="240" w:lineRule="auto"/>
    </w:pPr>
    <w:rPr>
      <w:color w:val="002355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ringel@koenig-bau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ena.landenberger@koenig-bauer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sa.knoops@koenig-bauer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1233</Words>
  <Characters>7281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Koenig &amp; Bauer potvrzuje výhled s výrazným zlepšením zisku ve druhém čtvrtletí –</vt:lpstr>
      <vt:lpstr>        </vt:lpstr>
      <vt:lpstr>        Navzdory náročnému tržnímu prostředí - růst tržeb o 7,0 % a historicky nejvyšší </vt:lpstr>
      <vt:lpstr>        Předběžný provozní zisk EBIT se výrazně zlepšil o 22,7 milionu eur - roční progn</vt:lpstr>
      <vt:lpstr>        Koncern se zaměřuje na přezkoumání všech možností pro společnost Coding GmbH - o</vt:lpstr>
      <vt:lpstr>        Koenig &amp; Bauer Coding GmbH: Silná pozice na rostoucím trhu průmyslových kódovací</vt:lpstr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Hradilová</dc:creator>
  <cp:keywords>, docId:E1C58CCF2CB6D3DC80AED3F17E69A580</cp:keywords>
  <cp:lastModifiedBy>Stanislav Vaníček</cp:lastModifiedBy>
  <cp:revision>9</cp:revision>
  <dcterms:created xsi:type="dcterms:W3CDTF">2025-08-04T06:56:00Z</dcterms:created>
  <dcterms:modified xsi:type="dcterms:W3CDTF">2025-08-05T08:02:00Z</dcterms:modified>
</cp:coreProperties>
</file>