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20786" w14:textId="77777777" w:rsidR="003F7623" w:rsidRPr="00562F40" w:rsidRDefault="003A24E5">
      <w:pPr>
        <w:pStyle w:val="Nzev"/>
        <w:rPr>
          <w:lang w:val="cs-CZ"/>
        </w:rPr>
      </w:pPr>
      <w:r w:rsidRPr="00562F40">
        <w:rPr>
          <w:lang w:val="cs-CZ"/>
        </w:rPr>
        <w:t xml:space="preserve">Tisková zpráva </w:t>
      </w:r>
    </w:p>
    <w:p w14:paraId="7BA77E03" w14:textId="12CDF3A6" w:rsidR="003F7623" w:rsidRPr="00562F40" w:rsidRDefault="003A24E5">
      <w:pPr>
        <w:rPr>
          <w:b/>
          <w:color w:val="002355"/>
          <w:sz w:val="40"/>
          <w:szCs w:val="40"/>
          <w:lang w:val="cs-CZ"/>
        </w:rPr>
      </w:pPr>
      <w:bookmarkStart w:id="0" w:name="_heading=h.30j0zll" w:colFirst="0" w:colLast="0"/>
      <w:bookmarkEnd w:id="0"/>
      <w:r w:rsidRPr="00562F40">
        <w:rPr>
          <w:b/>
          <w:color w:val="002355"/>
          <w:sz w:val="40"/>
          <w:szCs w:val="40"/>
          <w:lang w:val="cs-CZ"/>
        </w:rPr>
        <w:t xml:space="preserve">Koenig &amp; Bauer </w:t>
      </w:r>
      <w:r w:rsidR="00BB4DEF" w:rsidRPr="00562F40">
        <w:rPr>
          <w:b/>
          <w:color w:val="002355"/>
          <w:sz w:val="40"/>
          <w:szCs w:val="40"/>
          <w:lang w:val="cs-CZ"/>
        </w:rPr>
        <w:t>na</w:t>
      </w:r>
      <w:r w:rsidR="00746138">
        <w:rPr>
          <w:b/>
          <w:color w:val="002355"/>
          <w:sz w:val="40"/>
          <w:szCs w:val="40"/>
          <w:lang w:val="cs-CZ"/>
        </w:rPr>
        <w:t>plňuje vlastní prognózu pro </w:t>
      </w:r>
      <w:r w:rsidRPr="00562F40">
        <w:rPr>
          <w:b/>
          <w:color w:val="002355"/>
          <w:sz w:val="40"/>
          <w:szCs w:val="40"/>
          <w:lang w:val="cs-CZ"/>
        </w:rPr>
        <w:t xml:space="preserve">rok 2023 a očekává </w:t>
      </w:r>
      <w:r w:rsidR="007C7F05" w:rsidRPr="00562F40">
        <w:rPr>
          <w:b/>
          <w:color w:val="002355"/>
          <w:sz w:val="40"/>
          <w:szCs w:val="40"/>
          <w:lang w:val="cs-CZ"/>
        </w:rPr>
        <w:t xml:space="preserve">v roce 2024 </w:t>
      </w:r>
      <w:r w:rsidRPr="00562F40">
        <w:rPr>
          <w:b/>
          <w:color w:val="002355"/>
          <w:sz w:val="40"/>
          <w:szCs w:val="40"/>
          <w:lang w:val="cs-CZ"/>
        </w:rPr>
        <w:t>stabilní</w:t>
      </w:r>
      <w:r w:rsidR="00BB4DEF" w:rsidRPr="00562F40">
        <w:rPr>
          <w:b/>
          <w:color w:val="002355"/>
          <w:sz w:val="40"/>
          <w:szCs w:val="40"/>
          <w:lang w:val="cs-CZ"/>
        </w:rPr>
        <w:t xml:space="preserve"> </w:t>
      </w:r>
      <w:r w:rsidR="007C7F05" w:rsidRPr="00562F40">
        <w:rPr>
          <w:b/>
          <w:color w:val="002355"/>
          <w:sz w:val="40"/>
          <w:szCs w:val="40"/>
          <w:lang w:val="cs-CZ"/>
        </w:rPr>
        <w:t xml:space="preserve">hospodářský </w:t>
      </w:r>
      <w:r w:rsidR="00BB4DEF" w:rsidRPr="00562F40">
        <w:rPr>
          <w:b/>
          <w:color w:val="002355"/>
          <w:sz w:val="40"/>
          <w:szCs w:val="40"/>
          <w:lang w:val="cs-CZ"/>
        </w:rPr>
        <w:t>vývoj</w:t>
      </w:r>
      <w:r w:rsidRPr="00562F40">
        <w:rPr>
          <w:b/>
          <w:color w:val="002355"/>
          <w:sz w:val="40"/>
          <w:szCs w:val="40"/>
          <w:lang w:val="cs-CZ"/>
        </w:rPr>
        <w:t xml:space="preserve"> </w:t>
      </w:r>
    </w:p>
    <w:p w14:paraId="639A2D3A" w14:textId="77777777" w:rsidR="00587062" w:rsidRPr="00562F40" w:rsidRDefault="00587062" w:rsidP="004E1DC9">
      <w:pPr>
        <w:spacing w:after="0"/>
        <w:rPr>
          <w:sz w:val="24"/>
          <w:szCs w:val="24"/>
          <w:lang w:val="cs-CZ"/>
        </w:rPr>
      </w:pPr>
    </w:p>
    <w:p w14:paraId="2CC5F8E4" w14:textId="0CAEF60C" w:rsidR="003F7623" w:rsidRPr="00562F40" w:rsidRDefault="003A24E5">
      <w:pPr>
        <w:numPr>
          <w:ilvl w:val="0"/>
          <w:numId w:val="1"/>
        </w:numPr>
        <w:spacing w:after="0"/>
        <w:rPr>
          <w:sz w:val="24"/>
          <w:szCs w:val="24"/>
          <w:lang w:val="cs-CZ"/>
        </w:rPr>
      </w:pPr>
      <w:bookmarkStart w:id="1" w:name="_heading=h.1fob9te" w:colFirst="0" w:colLast="0"/>
      <w:bookmarkEnd w:id="1"/>
      <w:r w:rsidRPr="00562F40">
        <w:rPr>
          <w:sz w:val="24"/>
          <w:szCs w:val="24"/>
          <w:lang w:val="cs-CZ"/>
        </w:rPr>
        <w:t xml:space="preserve">Předběžné údaje: </w:t>
      </w:r>
      <w:r w:rsidR="00BB4DEF" w:rsidRPr="00562F40">
        <w:rPr>
          <w:sz w:val="24"/>
          <w:szCs w:val="24"/>
          <w:lang w:val="cs-CZ"/>
        </w:rPr>
        <w:t>t</w:t>
      </w:r>
      <w:r w:rsidRPr="00562F40">
        <w:rPr>
          <w:sz w:val="24"/>
          <w:szCs w:val="24"/>
          <w:lang w:val="cs-CZ"/>
        </w:rPr>
        <w:t>ržby ve výši 1 326,8 milionu EUR; EBIT 29,9 milionu EUR</w:t>
      </w:r>
      <w:r w:rsidR="00107A14">
        <w:rPr>
          <w:sz w:val="24"/>
          <w:szCs w:val="24"/>
          <w:lang w:val="cs-CZ"/>
        </w:rPr>
        <w:t>;</w:t>
      </w:r>
    </w:p>
    <w:p w14:paraId="41EA0F1B" w14:textId="13A9C880" w:rsidR="003F7623" w:rsidRPr="00562F40" w:rsidRDefault="00BB4DEF">
      <w:pPr>
        <w:numPr>
          <w:ilvl w:val="0"/>
          <w:numId w:val="1"/>
        </w:numPr>
        <w:spacing w:after="0"/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 xml:space="preserve">Výrazný růst objednávek u </w:t>
      </w:r>
      <w:proofErr w:type="spellStart"/>
      <w:r w:rsidRPr="00562F40">
        <w:rPr>
          <w:sz w:val="24"/>
          <w:szCs w:val="24"/>
          <w:lang w:val="cs-CZ"/>
        </w:rPr>
        <w:t>Banknote</w:t>
      </w:r>
      <w:proofErr w:type="spellEnd"/>
      <w:r w:rsidRPr="00562F40">
        <w:rPr>
          <w:sz w:val="24"/>
          <w:szCs w:val="24"/>
          <w:lang w:val="cs-CZ"/>
        </w:rPr>
        <w:t xml:space="preserve"> </w:t>
      </w:r>
      <w:proofErr w:type="spellStart"/>
      <w:r w:rsidRPr="00562F40">
        <w:rPr>
          <w:sz w:val="24"/>
          <w:szCs w:val="24"/>
          <w:lang w:val="cs-CZ"/>
        </w:rPr>
        <w:t>Solutions</w:t>
      </w:r>
      <w:proofErr w:type="spellEnd"/>
      <w:r w:rsidRPr="00562F40">
        <w:rPr>
          <w:sz w:val="24"/>
          <w:szCs w:val="24"/>
          <w:lang w:val="cs-CZ"/>
        </w:rPr>
        <w:t xml:space="preserve"> segmentu </w:t>
      </w:r>
      <w:proofErr w:type="spellStart"/>
      <w:r w:rsidRPr="00562F40">
        <w:rPr>
          <w:sz w:val="24"/>
          <w:szCs w:val="24"/>
          <w:lang w:val="cs-CZ"/>
        </w:rPr>
        <w:t>Special</w:t>
      </w:r>
      <w:proofErr w:type="spellEnd"/>
      <w:r w:rsidRPr="00562F40">
        <w:rPr>
          <w:sz w:val="24"/>
          <w:szCs w:val="24"/>
          <w:lang w:val="cs-CZ"/>
        </w:rPr>
        <w:t>;</w:t>
      </w:r>
    </w:p>
    <w:p w14:paraId="4B525533" w14:textId="737D8E52" w:rsidR="003F7623" w:rsidRPr="00562F40" w:rsidRDefault="003A24E5">
      <w:pPr>
        <w:numPr>
          <w:ilvl w:val="0"/>
          <w:numId w:val="1"/>
        </w:numPr>
        <w:spacing w:after="0"/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 xml:space="preserve">Dr. </w:t>
      </w:r>
      <w:proofErr w:type="spellStart"/>
      <w:r w:rsidRPr="00562F40">
        <w:rPr>
          <w:sz w:val="24"/>
          <w:szCs w:val="24"/>
          <w:lang w:val="cs-CZ"/>
        </w:rPr>
        <w:t>Pleßke</w:t>
      </w:r>
      <w:proofErr w:type="spellEnd"/>
      <w:r w:rsidRPr="00562F40">
        <w:rPr>
          <w:sz w:val="24"/>
          <w:szCs w:val="24"/>
          <w:lang w:val="cs-CZ"/>
        </w:rPr>
        <w:t xml:space="preserve"> vyhlásil program </w:t>
      </w:r>
      <w:r w:rsidR="00BB4DEF" w:rsidRPr="00562F40">
        <w:rPr>
          <w:sz w:val="24"/>
          <w:szCs w:val="24"/>
          <w:lang w:val="cs-CZ"/>
        </w:rPr>
        <w:t>„</w:t>
      </w:r>
      <w:proofErr w:type="spellStart"/>
      <w:r w:rsidRPr="00562F40">
        <w:rPr>
          <w:sz w:val="24"/>
          <w:szCs w:val="24"/>
          <w:lang w:val="cs-CZ"/>
        </w:rPr>
        <w:t>Spotlight</w:t>
      </w:r>
      <w:proofErr w:type="spellEnd"/>
      <w:r w:rsidR="00BB4DEF" w:rsidRPr="00562F40">
        <w:rPr>
          <w:sz w:val="24"/>
          <w:szCs w:val="24"/>
          <w:lang w:val="cs-CZ"/>
        </w:rPr>
        <w:t>“</w:t>
      </w:r>
      <w:r w:rsidRPr="00562F40">
        <w:rPr>
          <w:sz w:val="24"/>
          <w:szCs w:val="24"/>
          <w:lang w:val="cs-CZ"/>
        </w:rPr>
        <w:t xml:space="preserve">, který </w:t>
      </w:r>
      <w:r w:rsidR="00793ACC" w:rsidRPr="00562F40">
        <w:rPr>
          <w:sz w:val="24"/>
          <w:szCs w:val="24"/>
          <w:lang w:val="cs-CZ"/>
        </w:rPr>
        <w:t xml:space="preserve">má </w:t>
      </w:r>
      <w:r w:rsidR="00BB4DEF" w:rsidRPr="00562F40">
        <w:rPr>
          <w:sz w:val="24"/>
          <w:szCs w:val="24"/>
          <w:lang w:val="cs-CZ"/>
        </w:rPr>
        <w:t>koncern</w:t>
      </w:r>
      <w:r w:rsidR="00793ACC" w:rsidRPr="00562F40">
        <w:rPr>
          <w:sz w:val="24"/>
          <w:szCs w:val="24"/>
          <w:lang w:val="cs-CZ"/>
        </w:rPr>
        <w:t xml:space="preserve"> zaměřit </w:t>
      </w:r>
      <w:r w:rsidRPr="00562F40">
        <w:rPr>
          <w:sz w:val="24"/>
          <w:szCs w:val="24"/>
          <w:lang w:val="cs-CZ"/>
        </w:rPr>
        <w:t>na obchodní modely a technologie podporující růst a zisk</w:t>
      </w:r>
      <w:r w:rsidR="00BB4DEF" w:rsidRPr="00562F40">
        <w:rPr>
          <w:sz w:val="24"/>
          <w:szCs w:val="24"/>
          <w:lang w:val="cs-CZ"/>
        </w:rPr>
        <w:t>;</w:t>
      </w:r>
      <w:r w:rsidRPr="00562F40">
        <w:rPr>
          <w:sz w:val="24"/>
          <w:szCs w:val="24"/>
          <w:lang w:val="cs-CZ"/>
        </w:rPr>
        <w:t xml:space="preserve"> </w:t>
      </w:r>
    </w:p>
    <w:p w14:paraId="309B6FED" w14:textId="37EE91C1" w:rsidR="003F7623" w:rsidRPr="00562F40" w:rsidRDefault="003A24E5">
      <w:pPr>
        <w:numPr>
          <w:ilvl w:val="0"/>
          <w:numId w:val="1"/>
        </w:numPr>
        <w:spacing w:after="0"/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 xml:space="preserve">Dr. </w:t>
      </w:r>
      <w:proofErr w:type="spellStart"/>
      <w:r w:rsidRPr="00562F40">
        <w:rPr>
          <w:sz w:val="24"/>
          <w:szCs w:val="24"/>
          <w:lang w:val="cs-CZ"/>
        </w:rPr>
        <w:t>Kimmich</w:t>
      </w:r>
      <w:proofErr w:type="spellEnd"/>
      <w:r w:rsidRPr="00562F40">
        <w:rPr>
          <w:sz w:val="24"/>
          <w:szCs w:val="24"/>
          <w:lang w:val="cs-CZ"/>
        </w:rPr>
        <w:t xml:space="preserve"> </w:t>
      </w:r>
      <w:r w:rsidR="00BB4DEF" w:rsidRPr="00562F40">
        <w:rPr>
          <w:sz w:val="24"/>
          <w:szCs w:val="24"/>
          <w:lang w:val="cs-CZ"/>
        </w:rPr>
        <w:t xml:space="preserve">převezme ke své funkci CFO </w:t>
      </w:r>
      <w:r w:rsidRPr="00562F40">
        <w:rPr>
          <w:sz w:val="24"/>
          <w:szCs w:val="24"/>
          <w:lang w:val="cs-CZ"/>
        </w:rPr>
        <w:t xml:space="preserve">také odpovědnost za </w:t>
      </w:r>
      <w:r w:rsidR="00BB4DEF" w:rsidRPr="00562F40">
        <w:rPr>
          <w:sz w:val="24"/>
          <w:szCs w:val="24"/>
          <w:lang w:val="cs-CZ"/>
        </w:rPr>
        <w:t xml:space="preserve">segment </w:t>
      </w:r>
      <w:proofErr w:type="spellStart"/>
      <w:r w:rsidR="00BB4DEF" w:rsidRPr="00562F40">
        <w:rPr>
          <w:sz w:val="24"/>
          <w:szCs w:val="24"/>
          <w:lang w:val="cs-CZ"/>
        </w:rPr>
        <w:t>Special</w:t>
      </w:r>
      <w:proofErr w:type="spellEnd"/>
    </w:p>
    <w:p w14:paraId="5621AE3D" w14:textId="32C9C5FE" w:rsidR="003F7623" w:rsidRPr="00562F40" w:rsidRDefault="003A24E5">
      <w:pPr>
        <w:numPr>
          <w:ilvl w:val="0"/>
          <w:numId w:val="1"/>
        </w:numPr>
        <w:spacing w:after="0"/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>Výhled na rok 2024: provozní EBIT</w:t>
      </w:r>
      <w:r w:rsidR="00BB4DEF" w:rsidRPr="00562F40">
        <w:rPr>
          <w:sz w:val="24"/>
          <w:szCs w:val="24"/>
          <w:lang w:val="cs-CZ"/>
        </w:rPr>
        <w:t xml:space="preserve"> marže</w:t>
      </w:r>
      <w:r w:rsidRPr="00562F40">
        <w:rPr>
          <w:sz w:val="24"/>
          <w:szCs w:val="24"/>
          <w:lang w:val="cs-CZ"/>
        </w:rPr>
        <w:t xml:space="preserve"> a vývoj tržeb na stabilní úrovni předchozího roku</w:t>
      </w:r>
      <w:r w:rsidR="00BB4DEF" w:rsidRPr="00562F40">
        <w:rPr>
          <w:sz w:val="24"/>
          <w:szCs w:val="24"/>
          <w:lang w:val="cs-CZ"/>
        </w:rPr>
        <w:t>;</w:t>
      </w:r>
    </w:p>
    <w:p w14:paraId="65263D83" w14:textId="413D2A5D" w:rsidR="003F7623" w:rsidRPr="00562F40" w:rsidRDefault="003A0CED">
      <w:pPr>
        <w:numPr>
          <w:ilvl w:val="0"/>
          <w:numId w:val="1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Schválení b</w:t>
      </w:r>
      <w:r w:rsidRPr="00562F40">
        <w:rPr>
          <w:sz w:val="24"/>
          <w:szCs w:val="24"/>
          <w:lang w:val="cs-CZ"/>
        </w:rPr>
        <w:t>udoucí dividendov</w:t>
      </w:r>
      <w:r>
        <w:rPr>
          <w:sz w:val="24"/>
          <w:szCs w:val="24"/>
          <w:lang w:val="cs-CZ"/>
        </w:rPr>
        <w:t>é</w:t>
      </w:r>
      <w:r w:rsidRPr="00562F40">
        <w:rPr>
          <w:sz w:val="24"/>
          <w:szCs w:val="24"/>
          <w:lang w:val="cs-CZ"/>
        </w:rPr>
        <w:t xml:space="preserve"> politik</w:t>
      </w:r>
      <w:r>
        <w:rPr>
          <w:sz w:val="24"/>
          <w:szCs w:val="24"/>
          <w:lang w:val="cs-CZ"/>
        </w:rPr>
        <w:t>y</w:t>
      </w:r>
      <w:r w:rsidRPr="00562F40">
        <w:rPr>
          <w:sz w:val="24"/>
          <w:szCs w:val="24"/>
          <w:lang w:val="cs-CZ"/>
        </w:rPr>
        <w:t xml:space="preserve"> s poměrem</w:t>
      </w:r>
      <w:r w:rsidR="00BB4DEF" w:rsidRPr="00562F40">
        <w:rPr>
          <w:sz w:val="24"/>
          <w:szCs w:val="24"/>
          <w:lang w:val="cs-CZ"/>
        </w:rPr>
        <w:t xml:space="preserve"> vyplácení</w:t>
      </w:r>
      <w:r w:rsidRPr="00562F40">
        <w:rPr>
          <w:sz w:val="24"/>
          <w:szCs w:val="24"/>
          <w:lang w:val="cs-CZ"/>
        </w:rPr>
        <w:t xml:space="preserve"> 15-35 % </w:t>
      </w:r>
      <w:r>
        <w:rPr>
          <w:sz w:val="24"/>
          <w:szCs w:val="24"/>
          <w:lang w:val="cs-CZ"/>
        </w:rPr>
        <w:t>při</w:t>
      </w:r>
      <w:r w:rsidRPr="00562F40">
        <w:rPr>
          <w:sz w:val="24"/>
          <w:szCs w:val="24"/>
          <w:lang w:val="cs-CZ"/>
        </w:rPr>
        <w:t xml:space="preserve"> cílov</w:t>
      </w:r>
      <w:r>
        <w:rPr>
          <w:sz w:val="24"/>
          <w:szCs w:val="24"/>
          <w:lang w:val="cs-CZ"/>
        </w:rPr>
        <w:t>é</w:t>
      </w:r>
      <w:r w:rsidRPr="00562F40">
        <w:rPr>
          <w:sz w:val="24"/>
          <w:szCs w:val="24"/>
          <w:lang w:val="cs-CZ"/>
        </w:rPr>
        <w:t xml:space="preserve"> minimální výš</w:t>
      </w:r>
      <w:r>
        <w:rPr>
          <w:sz w:val="24"/>
          <w:szCs w:val="24"/>
          <w:lang w:val="cs-CZ"/>
        </w:rPr>
        <w:t>i</w:t>
      </w:r>
      <w:r w:rsidRPr="00562F40">
        <w:rPr>
          <w:sz w:val="24"/>
          <w:szCs w:val="24"/>
          <w:lang w:val="cs-CZ"/>
        </w:rPr>
        <w:t xml:space="preserve"> dividendy 0,3 EUR na akcii v případě zisk</w:t>
      </w:r>
      <w:r>
        <w:rPr>
          <w:sz w:val="24"/>
          <w:szCs w:val="24"/>
          <w:lang w:val="cs-CZ"/>
        </w:rPr>
        <w:t>u</w:t>
      </w:r>
      <w:r w:rsidRPr="00562F40">
        <w:rPr>
          <w:sz w:val="24"/>
          <w:szCs w:val="24"/>
          <w:lang w:val="cs-CZ"/>
        </w:rPr>
        <w:t>.</w:t>
      </w:r>
    </w:p>
    <w:p w14:paraId="0712C540" w14:textId="15A01F3F" w:rsidR="003F7623" w:rsidRPr="00562F40" w:rsidRDefault="003A24E5">
      <w:pPr>
        <w:rPr>
          <w:sz w:val="24"/>
          <w:szCs w:val="24"/>
          <w:lang w:val="cs-CZ"/>
        </w:rPr>
      </w:pPr>
      <w:r w:rsidRPr="00562F40">
        <w:rPr>
          <w:b/>
          <w:color w:val="002355"/>
          <w:sz w:val="40"/>
          <w:szCs w:val="40"/>
          <w:lang w:val="cs-CZ"/>
        </w:rPr>
        <w:br/>
      </w:r>
      <w:r w:rsidRPr="00562F40">
        <w:rPr>
          <w:sz w:val="24"/>
          <w:szCs w:val="24"/>
          <w:lang w:val="cs-CZ"/>
        </w:rPr>
        <w:t>Společnost Koenig &amp; Bauer AG (</w:t>
      </w:r>
      <w:r w:rsidR="00BB4DEF" w:rsidRPr="00562F40">
        <w:rPr>
          <w:sz w:val="24"/>
          <w:szCs w:val="24"/>
          <w:lang w:val="cs-CZ"/>
        </w:rPr>
        <w:t>„</w:t>
      </w:r>
      <w:r w:rsidRPr="00562F40">
        <w:rPr>
          <w:sz w:val="24"/>
          <w:szCs w:val="24"/>
          <w:lang w:val="cs-CZ"/>
        </w:rPr>
        <w:t>Koenig &amp; Bauer</w:t>
      </w:r>
      <w:r w:rsidR="00BB4DEF" w:rsidRPr="00562F40">
        <w:rPr>
          <w:sz w:val="24"/>
          <w:szCs w:val="24"/>
          <w:lang w:val="cs-CZ"/>
        </w:rPr>
        <w:t>“</w:t>
      </w:r>
      <w:r w:rsidRPr="00562F40">
        <w:rPr>
          <w:sz w:val="24"/>
          <w:szCs w:val="24"/>
          <w:lang w:val="cs-CZ"/>
        </w:rPr>
        <w:t xml:space="preserve">, WKN: 719350 / ISIN: DE0007193500), přední světový dodavatel technologií pro speciální tiskové aplikace se zaměřením na obalový průmysl, oznamuje, že na základě předběžných a neauditovaných finančních údajů splnila vlastní prognózu pro uplynulý </w:t>
      </w:r>
      <w:r w:rsidR="005455D6" w:rsidRPr="00562F40">
        <w:rPr>
          <w:sz w:val="24"/>
          <w:szCs w:val="24"/>
          <w:lang w:val="cs-CZ"/>
        </w:rPr>
        <w:t>hospodářský</w:t>
      </w:r>
      <w:r w:rsidRPr="00562F40">
        <w:rPr>
          <w:sz w:val="24"/>
          <w:szCs w:val="24"/>
          <w:lang w:val="cs-CZ"/>
        </w:rPr>
        <w:t xml:space="preserve"> rok 2023.</w:t>
      </w:r>
    </w:p>
    <w:p w14:paraId="7625E8FC" w14:textId="233FBB44" w:rsidR="003F7623" w:rsidRPr="00562F40" w:rsidRDefault="003A24E5">
      <w:pPr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 xml:space="preserve">Navzdory přetrvávajícímu náročnému prostředí na světových trzích, které je dále zhoršováno řadou vedlejších vlivů, jako jsou vyšší náklady na energie, materiál a zaměstnance, bylo dosaženo konsolidovaného zisku před úroky a zdaněním (EBIT) ve výši 29,9 milionu EUR. </w:t>
      </w:r>
      <w:r w:rsidR="003D790A" w:rsidRPr="00562F40">
        <w:rPr>
          <w:sz w:val="24"/>
          <w:szCs w:val="24"/>
          <w:lang w:val="cs-CZ"/>
        </w:rPr>
        <w:t xml:space="preserve">Tím </w:t>
      </w:r>
      <w:r w:rsidRPr="00562F40">
        <w:rPr>
          <w:sz w:val="24"/>
          <w:szCs w:val="24"/>
          <w:lang w:val="cs-CZ"/>
        </w:rPr>
        <w:t xml:space="preserve">EBIT </w:t>
      </w:r>
      <w:r w:rsidR="003A0CED">
        <w:rPr>
          <w:sz w:val="24"/>
          <w:szCs w:val="24"/>
          <w:lang w:val="cs-CZ"/>
        </w:rPr>
        <w:t xml:space="preserve">naplnil </w:t>
      </w:r>
      <w:r w:rsidRPr="00562F40">
        <w:rPr>
          <w:sz w:val="24"/>
          <w:szCs w:val="24"/>
          <w:lang w:val="cs-CZ"/>
        </w:rPr>
        <w:t>prognózu</w:t>
      </w:r>
      <w:r w:rsidR="003A0CED">
        <w:rPr>
          <w:sz w:val="24"/>
          <w:szCs w:val="24"/>
          <w:lang w:val="cs-CZ"/>
        </w:rPr>
        <w:t xml:space="preserve">, </w:t>
      </w:r>
      <w:r w:rsidR="003A0CED" w:rsidRPr="00562F40">
        <w:rPr>
          <w:sz w:val="24"/>
          <w:szCs w:val="24"/>
          <w:lang w:val="cs-CZ"/>
        </w:rPr>
        <w:t>která byla upravena 8. listopadu 2023</w:t>
      </w:r>
      <w:r w:rsidR="003A0CED">
        <w:rPr>
          <w:sz w:val="24"/>
          <w:szCs w:val="24"/>
          <w:lang w:val="cs-CZ"/>
        </w:rPr>
        <w:t>, předpokládající úroveň</w:t>
      </w:r>
      <w:r w:rsidRPr="00562F40">
        <w:rPr>
          <w:sz w:val="24"/>
          <w:szCs w:val="24"/>
          <w:lang w:val="cs-CZ"/>
        </w:rPr>
        <w:t xml:space="preserve"> 25 až 35 milionů EUR. Tržby </w:t>
      </w:r>
      <w:r w:rsidR="003D790A" w:rsidRPr="00562F40">
        <w:rPr>
          <w:sz w:val="24"/>
          <w:szCs w:val="24"/>
          <w:lang w:val="cs-CZ"/>
        </w:rPr>
        <w:t>koncernu</w:t>
      </w:r>
      <w:r w:rsidRPr="00562F40">
        <w:rPr>
          <w:sz w:val="24"/>
          <w:szCs w:val="24"/>
          <w:lang w:val="cs-CZ"/>
        </w:rPr>
        <w:t xml:space="preserve"> ve výši 1 326,8 milionu EUR </w:t>
      </w:r>
      <w:r w:rsidR="003A0CED">
        <w:rPr>
          <w:sz w:val="24"/>
          <w:szCs w:val="24"/>
          <w:lang w:val="cs-CZ"/>
        </w:rPr>
        <w:t xml:space="preserve">se pohybují </w:t>
      </w:r>
      <w:r w:rsidRPr="00562F40">
        <w:rPr>
          <w:sz w:val="24"/>
          <w:szCs w:val="24"/>
          <w:lang w:val="cs-CZ"/>
        </w:rPr>
        <w:t xml:space="preserve">na horní hranici </w:t>
      </w:r>
      <w:proofErr w:type="spellStart"/>
      <w:r w:rsidRPr="00562F40">
        <w:rPr>
          <w:sz w:val="24"/>
          <w:szCs w:val="24"/>
          <w:lang w:val="cs-CZ"/>
        </w:rPr>
        <w:t>p</w:t>
      </w:r>
      <w:r w:rsidR="003A0CED">
        <w:rPr>
          <w:sz w:val="24"/>
          <w:szCs w:val="24"/>
          <w:lang w:val="cs-CZ"/>
        </w:rPr>
        <w:t>rognostikovaných</w:t>
      </w:r>
      <w:proofErr w:type="spellEnd"/>
      <w:r w:rsidRPr="00562F40">
        <w:rPr>
          <w:sz w:val="24"/>
          <w:szCs w:val="24"/>
          <w:lang w:val="cs-CZ"/>
        </w:rPr>
        <w:t xml:space="preserve"> tržeb </w:t>
      </w:r>
      <w:r w:rsidR="003D790A" w:rsidRPr="00562F40">
        <w:rPr>
          <w:sz w:val="24"/>
          <w:szCs w:val="24"/>
          <w:lang w:val="cs-CZ"/>
        </w:rPr>
        <w:t>na úrovni</w:t>
      </w:r>
      <w:r w:rsidRPr="00562F40">
        <w:rPr>
          <w:sz w:val="24"/>
          <w:szCs w:val="24"/>
          <w:lang w:val="cs-CZ"/>
        </w:rPr>
        <w:t xml:space="preserve"> přibližně 1,3 miliardy EUR. V předchozím roce činily tržby 1 185,7 milionu </w:t>
      </w:r>
      <w:r w:rsidR="003D790A" w:rsidRPr="00562F40">
        <w:rPr>
          <w:sz w:val="24"/>
          <w:szCs w:val="24"/>
          <w:lang w:val="cs-CZ"/>
        </w:rPr>
        <w:t>EUR</w:t>
      </w:r>
      <w:r w:rsidRPr="00562F40">
        <w:rPr>
          <w:sz w:val="24"/>
          <w:szCs w:val="24"/>
          <w:lang w:val="cs-CZ"/>
        </w:rPr>
        <w:t xml:space="preserve"> a EBIT dosáhl 22,0 milionu </w:t>
      </w:r>
      <w:r w:rsidR="003D790A" w:rsidRPr="00562F40">
        <w:rPr>
          <w:sz w:val="24"/>
          <w:szCs w:val="24"/>
          <w:lang w:val="cs-CZ"/>
        </w:rPr>
        <w:t>EUR</w:t>
      </w:r>
      <w:r w:rsidRPr="00562F40">
        <w:rPr>
          <w:sz w:val="24"/>
          <w:szCs w:val="24"/>
          <w:lang w:val="cs-CZ"/>
        </w:rPr>
        <w:t xml:space="preserve">. </w:t>
      </w:r>
      <w:r w:rsidR="003D790A" w:rsidRPr="00562F40">
        <w:rPr>
          <w:sz w:val="24"/>
          <w:szCs w:val="24"/>
          <w:lang w:val="cs-CZ"/>
        </w:rPr>
        <w:t>Díky tomu s</w:t>
      </w:r>
      <w:r w:rsidRPr="00562F40">
        <w:rPr>
          <w:sz w:val="24"/>
          <w:szCs w:val="24"/>
          <w:lang w:val="cs-CZ"/>
        </w:rPr>
        <w:t xml:space="preserve">e tržby </w:t>
      </w:r>
      <w:r w:rsidR="003D790A" w:rsidRPr="00562F40">
        <w:rPr>
          <w:sz w:val="24"/>
          <w:szCs w:val="24"/>
          <w:lang w:val="cs-CZ"/>
        </w:rPr>
        <w:t xml:space="preserve">zlepšily </w:t>
      </w:r>
      <w:r w:rsidRPr="00562F40">
        <w:rPr>
          <w:sz w:val="24"/>
          <w:szCs w:val="24"/>
          <w:lang w:val="cs-CZ"/>
        </w:rPr>
        <w:t xml:space="preserve">oproti předchozímu roku o 11,9 %, zatímco EBIT vzrostl o 7,9 milionu </w:t>
      </w:r>
      <w:r w:rsidR="003D790A" w:rsidRPr="00562F40">
        <w:rPr>
          <w:sz w:val="24"/>
          <w:szCs w:val="24"/>
          <w:lang w:val="cs-CZ"/>
        </w:rPr>
        <w:t>EUR</w:t>
      </w:r>
      <w:r w:rsidRPr="00562F40">
        <w:rPr>
          <w:sz w:val="24"/>
          <w:szCs w:val="24"/>
          <w:lang w:val="cs-CZ"/>
        </w:rPr>
        <w:t>, což odpovídá nárůstu o 35,9 %. EBIT</w:t>
      </w:r>
      <w:r w:rsidR="003D790A" w:rsidRPr="00562F40">
        <w:rPr>
          <w:sz w:val="24"/>
          <w:szCs w:val="24"/>
          <w:lang w:val="cs-CZ"/>
        </w:rPr>
        <w:t xml:space="preserve"> marže </w:t>
      </w:r>
      <w:r w:rsidRPr="00562F40">
        <w:rPr>
          <w:sz w:val="24"/>
          <w:szCs w:val="24"/>
          <w:lang w:val="cs-CZ"/>
        </w:rPr>
        <w:t xml:space="preserve">činila 2,3 % ve srovnání s 1,9 % v předchozím roce. </w:t>
      </w:r>
    </w:p>
    <w:p w14:paraId="2768095A" w14:textId="2D195490" w:rsidR="003F7623" w:rsidRPr="00562F40" w:rsidRDefault="0022783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 xml:space="preserve">I přes </w:t>
      </w:r>
      <w:r w:rsidRPr="00562F40">
        <w:rPr>
          <w:sz w:val="24"/>
          <w:szCs w:val="24"/>
          <w:lang w:val="cs-CZ"/>
        </w:rPr>
        <w:t>počáteční a následn</w:t>
      </w:r>
      <w:r>
        <w:rPr>
          <w:sz w:val="24"/>
          <w:szCs w:val="24"/>
          <w:lang w:val="cs-CZ"/>
        </w:rPr>
        <w:t>é</w:t>
      </w:r>
      <w:r w:rsidRPr="00562F40">
        <w:rPr>
          <w:sz w:val="24"/>
          <w:szCs w:val="24"/>
          <w:lang w:val="cs-CZ"/>
        </w:rPr>
        <w:t xml:space="preserve"> náklad</w:t>
      </w:r>
      <w:r>
        <w:rPr>
          <w:sz w:val="24"/>
          <w:szCs w:val="24"/>
          <w:lang w:val="cs-CZ"/>
        </w:rPr>
        <w:t>y</w:t>
      </w:r>
      <w:r w:rsidRPr="00562F40">
        <w:rPr>
          <w:sz w:val="24"/>
          <w:szCs w:val="24"/>
          <w:lang w:val="cs-CZ"/>
        </w:rPr>
        <w:t xml:space="preserve"> v segmentu Digital &amp; </w:t>
      </w:r>
      <w:proofErr w:type="spellStart"/>
      <w:r w:rsidRPr="00562F40">
        <w:rPr>
          <w:sz w:val="24"/>
          <w:szCs w:val="24"/>
          <w:lang w:val="cs-CZ"/>
        </w:rPr>
        <w:t>Webfed</w:t>
      </w:r>
      <w:proofErr w:type="spellEnd"/>
      <w:r w:rsidRPr="00562F40">
        <w:rPr>
          <w:sz w:val="24"/>
          <w:szCs w:val="24"/>
          <w:lang w:val="cs-CZ"/>
        </w:rPr>
        <w:t xml:space="preserve"> </w:t>
      </w:r>
      <w:r w:rsidR="003D790A" w:rsidRPr="00562F40">
        <w:rPr>
          <w:sz w:val="24"/>
          <w:szCs w:val="24"/>
          <w:lang w:val="cs-CZ"/>
        </w:rPr>
        <w:t>bylo</w:t>
      </w:r>
      <w:r w:rsidRPr="00562F40">
        <w:rPr>
          <w:sz w:val="24"/>
          <w:szCs w:val="24"/>
          <w:lang w:val="cs-CZ"/>
        </w:rPr>
        <w:t xml:space="preserve"> </w:t>
      </w:r>
      <w:r w:rsidR="003D790A" w:rsidRPr="00562F40">
        <w:rPr>
          <w:sz w:val="24"/>
          <w:szCs w:val="24"/>
          <w:lang w:val="cs-CZ"/>
        </w:rPr>
        <w:t>dosaženo vyšší</w:t>
      </w:r>
      <w:r w:rsidRPr="00562F40">
        <w:rPr>
          <w:sz w:val="24"/>
          <w:szCs w:val="24"/>
          <w:lang w:val="cs-CZ"/>
        </w:rPr>
        <w:t xml:space="preserve"> ziskovost</w:t>
      </w:r>
      <w:r w:rsidR="003D790A" w:rsidRPr="00562F40">
        <w:rPr>
          <w:sz w:val="24"/>
          <w:szCs w:val="24"/>
          <w:lang w:val="cs-CZ"/>
        </w:rPr>
        <w:t xml:space="preserve">i </w:t>
      </w:r>
      <w:r w:rsidRPr="00562F40">
        <w:rPr>
          <w:sz w:val="24"/>
          <w:szCs w:val="24"/>
          <w:lang w:val="cs-CZ"/>
        </w:rPr>
        <w:t xml:space="preserve">především efektivnější </w:t>
      </w:r>
      <w:r w:rsidR="003D790A" w:rsidRPr="00562F40">
        <w:rPr>
          <w:sz w:val="24"/>
          <w:szCs w:val="24"/>
          <w:lang w:val="cs-CZ"/>
        </w:rPr>
        <w:t>práci</w:t>
      </w:r>
      <w:r w:rsidRPr="00562F40">
        <w:rPr>
          <w:sz w:val="24"/>
          <w:szCs w:val="24"/>
          <w:lang w:val="cs-CZ"/>
        </w:rPr>
        <w:t xml:space="preserve"> s inflačními náklady (</w:t>
      </w:r>
      <w:r w:rsidR="003D790A" w:rsidRPr="00562F40">
        <w:rPr>
          <w:sz w:val="24"/>
          <w:szCs w:val="24"/>
          <w:lang w:val="cs-CZ"/>
        </w:rPr>
        <w:t xml:space="preserve">vyšší náklady na </w:t>
      </w:r>
      <w:r w:rsidRPr="00562F40">
        <w:rPr>
          <w:sz w:val="24"/>
          <w:szCs w:val="24"/>
          <w:lang w:val="cs-CZ"/>
        </w:rPr>
        <w:t xml:space="preserve">materiál, energie a </w:t>
      </w:r>
      <w:r w:rsidR="003D790A" w:rsidRPr="00562F40">
        <w:rPr>
          <w:sz w:val="24"/>
          <w:szCs w:val="24"/>
          <w:lang w:val="cs-CZ"/>
        </w:rPr>
        <w:t>personál</w:t>
      </w:r>
      <w:r w:rsidRPr="00562F40">
        <w:rPr>
          <w:sz w:val="24"/>
          <w:szCs w:val="24"/>
          <w:lang w:val="cs-CZ"/>
        </w:rPr>
        <w:t xml:space="preserve">) a intenzivnějším řízením nákladů v důsledku nedostatečného oživení poptávky ve třetím čtvrtletí. </w:t>
      </w:r>
      <w:r w:rsidR="003D790A" w:rsidRPr="00562F40">
        <w:rPr>
          <w:sz w:val="24"/>
          <w:szCs w:val="24"/>
          <w:lang w:val="cs-CZ"/>
        </w:rPr>
        <w:t>Současně</w:t>
      </w:r>
      <w:r w:rsidRPr="00562F40">
        <w:rPr>
          <w:sz w:val="24"/>
          <w:szCs w:val="24"/>
          <w:lang w:val="cs-CZ"/>
        </w:rPr>
        <w:t xml:space="preserve"> se podařilo do značné míry přenést zvýšené náklady na energie, materiál a </w:t>
      </w:r>
      <w:r w:rsidR="003D790A" w:rsidRPr="00562F40">
        <w:rPr>
          <w:sz w:val="24"/>
          <w:szCs w:val="24"/>
          <w:lang w:val="cs-CZ"/>
        </w:rPr>
        <w:t>zaměst</w:t>
      </w:r>
      <w:r>
        <w:rPr>
          <w:sz w:val="24"/>
          <w:szCs w:val="24"/>
          <w:lang w:val="cs-CZ"/>
        </w:rPr>
        <w:t>n</w:t>
      </w:r>
      <w:r w:rsidR="003D790A" w:rsidRPr="00562F40">
        <w:rPr>
          <w:sz w:val="24"/>
          <w:szCs w:val="24"/>
          <w:lang w:val="cs-CZ"/>
        </w:rPr>
        <w:t>ance</w:t>
      </w:r>
      <w:r w:rsidRPr="00562F40">
        <w:rPr>
          <w:sz w:val="24"/>
          <w:szCs w:val="24"/>
          <w:lang w:val="cs-CZ"/>
        </w:rPr>
        <w:t xml:space="preserve">, zatímco dočasný nárůst materiálových nákladů se opět snížil.  </w:t>
      </w:r>
    </w:p>
    <w:p w14:paraId="5D3B9AA2" w14:textId="3FCDD1A2" w:rsidR="003F7623" w:rsidRPr="00562F40" w:rsidRDefault="003A24E5">
      <w:pPr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>Navzdory slabšímu třetímu čtvrtletí se společnosti Koenig &amp; Bauer podařilo ve čtvrtém čtvrtletí pokračovat v růst</w:t>
      </w:r>
      <w:r w:rsidR="00377388" w:rsidRPr="00562F40">
        <w:rPr>
          <w:sz w:val="24"/>
          <w:szCs w:val="24"/>
          <w:lang w:val="cs-CZ"/>
        </w:rPr>
        <w:t>u</w:t>
      </w:r>
      <w:r w:rsidRPr="00562F40">
        <w:rPr>
          <w:sz w:val="24"/>
          <w:szCs w:val="24"/>
          <w:lang w:val="cs-CZ"/>
        </w:rPr>
        <w:t>, kter</w:t>
      </w:r>
      <w:r w:rsidR="00377388" w:rsidRPr="00562F40">
        <w:rPr>
          <w:sz w:val="24"/>
          <w:szCs w:val="24"/>
          <w:lang w:val="cs-CZ"/>
        </w:rPr>
        <w:t>ým vstoupila</w:t>
      </w:r>
      <w:r w:rsidRPr="00562F40">
        <w:rPr>
          <w:sz w:val="24"/>
          <w:szCs w:val="24"/>
          <w:lang w:val="cs-CZ"/>
        </w:rPr>
        <w:t xml:space="preserve"> </w:t>
      </w:r>
      <w:r w:rsidR="00377388" w:rsidRPr="00562F40">
        <w:rPr>
          <w:sz w:val="24"/>
          <w:szCs w:val="24"/>
          <w:lang w:val="cs-CZ"/>
        </w:rPr>
        <w:t>do</w:t>
      </w:r>
      <w:r w:rsidRPr="00562F40">
        <w:rPr>
          <w:sz w:val="24"/>
          <w:szCs w:val="24"/>
          <w:lang w:val="cs-CZ"/>
        </w:rPr>
        <w:t xml:space="preserve"> první polovin</w:t>
      </w:r>
      <w:r w:rsidR="00377388" w:rsidRPr="00562F40">
        <w:rPr>
          <w:sz w:val="24"/>
          <w:szCs w:val="24"/>
          <w:lang w:val="cs-CZ"/>
        </w:rPr>
        <w:t>y</w:t>
      </w:r>
      <w:r w:rsidRPr="00562F40">
        <w:rPr>
          <w:sz w:val="24"/>
          <w:szCs w:val="24"/>
          <w:lang w:val="cs-CZ"/>
        </w:rPr>
        <w:t xml:space="preserve"> roku 2023. </w:t>
      </w:r>
      <w:r w:rsidR="00377388" w:rsidRPr="00562F40">
        <w:rPr>
          <w:sz w:val="24"/>
          <w:szCs w:val="24"/>
          <w:lang w:val="cs-CZ"/>
        </w:rPr>
        <w:t xml:space="preserve">Závěrečné čtvrtletí se v této souvislosti </w:t>
      </w:r>
      <w:r w:rsidRPr="00562F40">
        <w:rPr>
          <w:sz w:val="24"/>
          <w:szCs w:val="24"/>
          <w:lang w:val="cs-CZ"/>
        </w:rPr>
        <w:t>projevil</w:t>
      </w:r>
      <w:r w:rsidR="00377388" w:rsidRPr="00562F40">
        <w:rPr>
          <w:sz w:val="24"/>
          <w:szCs w:val="24"/>
          <w:lang w:val="cs-CZ"/>
        </w:rPr>
        <w:t>o</w:t>
      </w:r>
      <w:r w:rsidRPr="00562F40">
        <w:rPr>
          <w:sz w:val="24"/>
          <w:szCs w:val="24"/>
          <w:lang w:val="cs-CZ"/>
        </w:rPr>
        <w:t xml:space="preserve"> </w:t>
      </w:r>
      <w:r w:rsidR="00377388" w:rsidRPr="00562F40">
        <w:rPr>
          <w:sz w:val="24"/>
          <w:szCs w:val="24"/>
          <w:lang w:val="cs-CZ"/>
        </w:rPr>
        <w:t xml:space="preserve">svou </w:t>
      </w:r>
      <w:r w:rsidRPr="00562F40">
        <w:rPr>
          <w:sz w:val="24"/>
          <w:szCs w:val="24"/>
          <w:lang w:val="cs-CZ"/>
        </w:rPr>
        <w:t>obvykl</w:t>
      </w:r>
      <w:r w:rsidR="00377388" w:rsidRPr="00562F40">
        <w:rPr>
          <w:sz w:val="24"/>
          <w:szCs w:val="24"/>
          <w:lang w:val="cs-CZ"/>
        </w:rPr>
        <w:t>ou</w:t>
      </w:r>
      <w:r w:rsidRPr="00562F40">
        <w:rPr>
          <w:sz w:val="24"/>
          <w:szCs w:val="24"/>
          <w:lang w:val="cs-CZ"/>
        </w:rPr>
        <w:t xml:space="preserve"> siln</w:t>
      </w:r>
      <w:r w:rsidR="00377388" w:rsidRPr="00562F40">
        <w:rPr>
          <w:sz w:val="24"/>
          <w:szCs w:val="24"/>
          <w:lang w:val="cs-CZ"/>
        </w:rPr>
        <w:t>ou</w:t>
      </w:r>
      <w:r w:rsidRPr="00562F40">
        <w:rPr>
          <w:sz w:val="24"/>
          <w:szCs w:val="24"/>
          <w:lang w:val="cs-CZ"/>
        </w:rPr>
        <w:t xml:space="preserve"> stránk</w:t>
      </w:r>
      <w:r w:rsidR="00377388" w:rsidRPr="00562F40">
        <w:rPr>
          <w:sz w:val="24"/>
          <w:szCs w:val="24"/>
          <w:lang w:val="cs-CZ"/>
        </w:rPr>
        <w:t>ou</w:t>
      </w:r>
      <w:r w:rsidRPr="00562F40">
        <w:rPr>
          <w:sz w:val="24"/>
          <w:szCs w:val="24"/>
          <w:lang w:val="cs-CZ"/>
        </w:rPr>
        <w:t xml:space="preserve">, </w:t>
      </w:r>
      <w:r w:rsidR="00377388" w:rsidRPr="00562F40">
        <w:rPr>
          <w:sz w:val="24"/>
          <w:szCs w:val="24"/>
          <w:lang w:val="cs-CZ"/>
        </w:rPr>
        <w:t>neboť</w:t>
      </w:r>
      <w:r w:rsidRPr="00562F40">
        <w:rPr>
          <w:sz w:val="24"/>
          <w:szCs w:val="24"/>
          <w:lang w:val="cs-CZ"/>
        </w:rPr>
        <w:t xml:space="preserve"> tržby dosáhly 435,7 milionu EUR (v předchozím roce 380,0 milionu EUR) a EBIT 32,0 milionu EUR (v předchozím roce 25,0 milionu EUR). To představuje výrazné zlepšení oproti stejnému období předchozího roku. </w:t>
      </w:r>
    </w:p>
    <w:p w14:paraId="52A829FE" w14:textId="268F0832" w:rsidR="003F7623" w:rsidRPr="00562F40" w:rsidRDefault="003A24E5">
      <w:pPr>
        <w:rPr>
          <w:lang w:val="cs-CZ"/>
        </w:rPr>
      </w:pPr>
      <w:r w:rsidRPr="00562F40">
        <w:rPr>
          <w:sz w:val="24"/>
          <w:szCs w:val="24"/>
          <w:lang w:val="cs-CZ"/>
        </w:rPr>
        <w:t>Příchozí ob</w:t>
      </w:r>
      <w:r w:rsidR="0068598F">
        <w:rPr>
          <w:sz w:val="24"/>
          <w:szCs w:val="24"/>
          <w:lang w:val="cs-CZ"/>
        </w:rPr>
        <w:t>jednávky na konci roku činily 1</w:t>
      </w:r>
      <w:r w:rsidRPr="00562F40">
        <w:rPr>
          <w:sz w:val="24"/>
          <w:szCs w:val="24"/>
          <w:lang w:val="cs-CZ"/>
        </w:rPr>
        <w:t>287,9 milionu EUR a byly tak podle očekávání mírně nižší než historicky vysoká hodnota z předchozího roku</w:t>
      </w:r>
      <w:r w:rsidR="00377388" w:rsidRPr="00562F40">
        <w:rPr>
          <w:sz w:val="24"/>
          <w:szCs w:val="24"/>
          <w:lang w:val="cs-CZ"/>
        </w:rPr>
        <w:t xml:space="preserve"> na úrovni</w:t>
      </w:r>
      <w:r w:rsidR="0068598F">
        <w:rPr>
          <w:sz w:val="24"/>
          <w:szCs w:val="24"/>
          <w:lang w:val="cs-CZ"/>
        </w:rPr>
        <w:t> 1</w:t>
      </w:r>
      <w:r w:rsidRPr="00562F40">
        <w:rPr>
          <w:sz w:val="24"/>
          <w:szCs w:val="24"/>
          <w:lang w:val="cs-CZ"/>
        </w:rPr>
        <w:t xml:space="preserve">329,3 milionu EUR. Poměr </w:t>
      </w:r>
      <w:proofErr w:type="spellStart"/>
      <w:r w:rsidR="00377388" w:rsidRPr="00562F40">
        <w:rPr>
          <w:sz w:val="24"/>
          <w:szCs w:val="24"/>
          <w:lang w:val="cs-CZ"/>
        </w:rPr>
        <w:t>Book</w:t>
      </w:r>
      <w:proofErr w:type="spellEnd"/>
      <w:r w:rsidR="00377388" w:rsidRPr="00562F40">
        <w:rPr>
          <w:sz w:val="24"/>
          <w:szCs w:val="24"/>
          <w:lang w:val="cs-CZ"/>
        </w:rPr>
        <w:t xml:space="preserve"> to Bill Ratio </w:t>
      </w:r>
      <w:r w:rsidRPr="00562F40">
        <w:rPr>
          <w:sz w:val="24"/>
          <w:szCs w:val="24"/>
          <w:lang w:val="cs-CZ"/>
        </w:rPr>
        <w:t xml:space="preserve">ve čtvrtém čtvrtletí </w:t>
      </w:r>
      <w:r w:rsidR="00377388" w:rsidRPr="00562F40">
        <w:rPr>
          <w:sz w:val="24"/>
          <w:szCs w:val="24"/>
          <w:lang w:val="cs-CZ"/>
        </w:rPr>
        <w:t>zaznamenal hodnotu</w:t>
      </w:r>
      <w:r w:rsidRPr="00562F40">
        <w:rPr>
          <w:sz w:val="24"/>
          <w:szCs w:val="24"/>
          <w:lang w:val="cs-CZ"/>
        </w:rPr>
        <w:t xml:space="preserve"> 1,0, </w:t>
      </w:r>
      <w:r w:rsidR="00227837">
        <w:rPr>
          <w:sz w:val="24"/>
          <w:szCs w:val="24"/>
          <w:lang w:val="cs-CZ"/>
        </w:rPr>
        <w:t xml:space="preserve">čímž </w:t>
      </w:r>
      <w:r w:rsidR="00377388" w:rsidRPr="00562F40">
        <w:rPr>
          <w:sz w:val="24"/>
          <w:szCs w:val="24"/>
          <w:lang w:val="cs-CZ"/>
        </w:rPr>
        <w:t xml:space="preserve">překonal </w:t>
      </w:r>
      <w:r w:rsidRPr="00562F40">
        <w:rPr>
          <w:sz w:val="24"/>
          <w:szCs w:val="24"/>
          <w:lang w:val="cs-CZ"/>
        </w:rPr>
        <w:t>předchozí ro</w:t>
      </w:r>
      <w:r w:rsidR="00377388" w:rsidRPr="00562F40">
        <w:rPr>
          <w:sz w:val="24"/>
          <w:szCs w:val="24"/>
          <w:lang w:val="cs-CZ"/>
        </w:rPr>
        <w:t>k</w:t>
      </w:r>
      <w:r w:rsidRPr="00562F40">
        <w:rPr>
          <w:sz w:val="24"/>
          <w:szCs w:val="24"/>
          <w:lang w:val="cs-CZ"/>
        </w:rPr>
        <w:t xml:space="preserve">, kdy činil 0,8. Objem nevyřízených objednávek se podle plánu snížil z 950,4 milionu EUR na 911,5 milionu EUR na konci sledovaného období v důsledku </w:t>
      </w:r>
      <w:r w:rsidR="00377388" w:rsidRPr="00562F40">
        <w:rPr>
          <w:sz w:val="24"/>
          <w:szCs w:val="24"/>
          <w:lang w:val="cs-CZ"/>
        </w:rPr>
        <w:t>realizovaných</w:t>
      </w:r>
      <w:r w:rsidRPr="00562F40">
        <w:rPr>
          <w:sz w:val="24"/>
          <w:szCs w:val="24"/>
          <w:lang w:val="cs-CZ"/>
        </w:rPr>
        <w:t xml:space="preserve"> dodávek.</w:t>
      </w:r>
    </w:p>
    <w:p w14:paraId="185FD9C1" w14:textId="1F7FCAEE" w:rsidR="003F7623" w:rsidRPr="00562F40" w:rsidRDefault="003A24E5">
      <w:pPr>
        <w:pStyle w:val="Nadpis3"/>
        <w:rPr>
          <w:lang w:val="cs-CZ"/>
        </w:rPr>
      </w:pPr>
      <w:r w:rsidRPr="00562F40">
        <w:rPr>
          <w:sz w:val="24"/>
          <w:szCs w:val="24"/>
          <w:lang w:val="cs-CZ"/>
        </w:rPr>
        <w:t xml:space="preserve">Segmenty: Velký počet </w:t>
      </w:r>
      <w:r w:rsidR="00377388" w:rsidRPr="00562F40">
        <w:rPr>
          <w:sz w:val="24"/>
          <w:szCs w:val="24"/>
          <w:lang w:val="cs-CZ"/>
        </w:rPr>
        <w:t xml:space="preserve">přijatých </w:t>
      </w:r>
      <w:r w:rsidRPr="00562F40">
        <w:rPr>
          <w:sz w:val="24"/>
          <w:szCs w:val="24"/>
          <w:lang w:val="cs-CZ"/>
        </w:rPr>
        <w:t>objednávek</w:t>
      </w:r>
      <w:r w:rsidR="00377388" w:rsidRPr="00562F40">
        <w:rPr>
          <w:sz w:val="24"/>
          <w:szCs w:val="24"/>
          <w:lang w:val="cs-CZ"/>
        </w:rPr>
        <w:t xml:space="preserve"> divize</w:t>
      </w:r>
      <w:r w:rsidRPr="00562F40">
        <w:rPr>
          <w:sz w:val="24"/>
          <w:szCs w:val="24"/>
          <w:lang w:val="cs-CZ"/>
        </w:rPr>
        <w:t xml:space="preserve"> </w:t>
      </w:r>
      <w:proofErr w:type="spellStart"/>
      <w:r w:rsidR="00377388" w:rsidRPr="00562F40">
        <w:rPr>
          <w:sz w:val="24"/>
          <w:szCs w:val="24"/>
          <w:lang w:val="cs-CZ"/>
        </w:rPr>
        <w:t>Ba</w:t>
      </w:r>
      <w:r w:rsidRPr="00562F40">
        <w:rPr>
          <w:sz w:val="24"/>
          <w:szCs w:val="24"/>
          <w:lang w:val="cs-CZ"/>
        </w:rPr>
        <w:t>n</w:t>
      </w:r>
      <w:r w:rsidR="00377388" w:rsidRPr="00562F40">
        <w:rPr>
          <w:sz w:val="24"/>
          <w:szCs w:val="24"/>
          <w:lang w:val="cs-CZ"/>
        </w:rPr>
        <w:t>knote</w:t>
      </w:r>
      <w:proofErr w:type="spellEnd"/>
      <w:r w:rsidR="00377388" w:rsidRPr="00562F40">
        <w:rPr>
          <w:sz w:val="24"/>
          <w:szCs w:val="24"/>
          <w:lang w:val="cs-CZ"/>
        </w:rPr>
        <w:t xml:space="preserve"> </w:t>
      </w:r>
      <w:proofErr w:type="spellStart"/>
      <w:r w:rsidR="00377388" w:rsidRPr="00562F40">
        <w:rPr>
          <w:sz w:val="24"/>
          <w:szCs w:val="24"/>
          <w:lang w:val="cs-CZ"/>
        </w:rPr>
        <w:t>Solutions</w:t>
      </w:r>
      <w:proofErr w:type="spellEnd"/>
      <w:r w:rsidR="00377388" w:rsidRPr="00562F40">
        <w:rPr>
          <w:sz w:val="24"/>
          <w:szCs w:val="24"/>
          <w:lang w:val="cs-CZ"/>
        </w:rPr>
        <w:t xml:space="preserve"> v segmentu </w:t>
      </w:r>
      <w:proofErr w:type="spellStart"/>
      <w:r w:rsidR="00377388" w:rsidRPr="00562F40">
        <w:rPr>
          <w:sz w:val="24"/>
          <w:szCs w:val="24"/>
          <w:lang w:val="cs-CZ"/>
        </w:rPr>
        <w:t>Special</w:t>
      </w:r>
      <w:proofErr w:type="spellEnd"/>
    </w:p>
    <w:p w14:paraId="30318AD8" w14:textId="5D0C4105" w:rsidR="003F7623" w:rsidRPr="00562F40" w:rsidRDefault="003A24E5">
      <w:pPr>
        <w:spacing w:after="0"/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 xml:space="preserve">Příchozí objednávky </w:t>
      </w:r>
      <w:r w:rsidRPr="00562F40">
        <w:rPr>
          <w:b/>
          <w:sz w:val="24"/>
          <w:szCs w:val="24"/>
          <w:lang w:val="cs-CZ"/>
        </w:rPr>
        <w:t>v</w:t>
      </w:r>
      <w:r w:rsidR="00377388" w:rsidRPr="00562F40">
        <w:rPr>
          <w:b/>
          <w:sz w:val="24"/>
          <w:szCs w:val="24"/>
          <w:lang w:val="cs-CZ"/>
        </w:rPr>
        <w:t xml:space="preserve"> segmentu </w:t>
      </w:r>
      <w:proofErr w:type="spellStart"/>
      <w:r w:rsidR="00377388" w:rsidRPr="00562F40">
        <w:rPr>
          <w:b/>
          <w:sz w:val="24"/>
          <w:szCs w:val="24"/>
          <w:lang w:val="cs-CZ"/>
        </w:rPr>
        <w:t>Special</w:t>
      </w:r>
      <w:proofErr w:type="spellEnd"/>
      <w:r w:rsidRPr="00562F40">
        <w:rPr>
          <w:b/>
          <w:sz w:val="24"/>
          <w:szCs w:val="24"/>
          <w:lang w:val="cs-CZ"/>
        </w:rPr>
        <w:t xml:space="preserve"> </w:t>
      </w:r>
      <w:r w:rsidRPr="00562F40">
        <w:rPr>
          <w:sz w:val="24"/>
          <w:szCs w:val="24"/>
          <w:lang w:val="cs-CZ"/>
        </w:rPr>
        <w:t xml:space="preserve">vzrostly o 37,1 % na 538,8 milionu EUR na konci </w:t>
      </w:r>
      <w:r w:rsidR="000D6EAC" w:rsidRPr="00562F40">
        <w:rPr>
          <w:sz w:val="24"/>
          <w:szCs w:val="24"/>
          <w:lang w:val="cs-CZ"/>
        </w:rPr>
        <w:t>hospodářského</w:t>
      </w:r>
      <w:r w:rsidRPr="00562F40">
        <w:rPr>
          <w:sz w:val="24"/>
          <w:szCs w:val="24"/>
          <w:lang w:val="cs-CZ"/>
        </w:rPr>
        <w:t xml:space="preserve"> roku (v předchozím roce: 392,9 milionu EUR). V samotném čtvrtém čtvrtletí </w:t>
      </w:r>
      <w:r w:rsidR="00333165">
        <w:rPr>
          <w:sz w:val="24"/>
          <w:szCs w:val="24"/>
          <w:lang w:val="cs-CZ"/>
        </w:rPr>
        <w:t>dosáhly</w:t>
      </w:r>
      <w:r w:rsidRPr="00562F40">
        <w:rPr>
          <w:sz w:val="24"/>
          <w:szCs w:val="24"/>
          <w:lang w:val="cs-CZ"/>
        </w:rPr>
        <w:t xml:space="preserve"> příchozí</w:t>
      </w:r>
      <w:r w:rsidR="00333165">
        <w:rPr>
          <w:sz w:val="24"/>
          <w:szCs w:val="24"/>
          <w:lang w:val="cs-CZ"/>
        </w:rPr>
        <w:t xml:space="preserve"> </w:t>
      </w:r>
      <w:r w:rsidRPr="00562F40">
        <w:rPr>
          <w:sz w:val="24"/>
          <w:szCs w:val="24"/>
          <w:lang w:val="cs-CZ"/>
        </w:rPr>
        <w:t>zakázk</w:t>
      </w:r>
      <w:r w:rsidR="00333165">
        <w:rPr>
          <w:sz w:val="24"/>
          <w:szCs w:val="24"/>
          <w:lang w:val="cs-CZ"/>
        </w:rPr>
        <w:t>y</w:t>
      </w:r>
      <w:r w:rsidRPr="00562F40">
        <w:rPr>
          <w:sz w:val="24"/>
          <w:szCs w:val="24"/>
          <w:lang w:val="cs-CZ"/>
        </w:rPr>
        <w:t xml:space="preserve"> celkové výš</w:t>
      </w:r>
      <w:r w:rsidR="00333165">
        <w:rPr>
          <w:sz w:val="24"/>
          <w:szCs w:val="24"/>
          <w:lang w:val="cs-CZ"/>
        </w:rPr>
        <w:t>e</w:t>
      </w:r>
      <w:r w:rsidRPr="00562F40">
        <w:rPr>
          <w:sz w:val="24"/>
          <w:szCs w:val="24"/>
          <w:lang w:val="cs-CZ"/>
        </w:rPr>
        <w:t xml:space="preserve"> 268,1 milionu EUR. </w:t>
      </w:r>
      <w:r w:rsidR="000D6EAC" w:rsidRPr="00562F40">
        <w:rPr>
          <w:sz w:val="24"/>
          <w:szCs w:val="24"/>
          <w:lang w:val="cs-CZ"/>
        </w:rPr>
        <w:t xml:space="preserve">Rozhodujícím faktorem </w:t>
      </w:r>
      <w:r w:rsidRPr="00562F40">
        <w:rPr>
          <w:sz w:val="24"/>
          <w:szCs w:val="24"/>
          <w:lang w:val="cs-CZ"/>
        </w:rPr>
        <w:t xml:space="preserve">byla </w:t>
      </w:r>
      <w:r w:rsidR="000D6EAC" w:rsidRPr="00562F40">
        <w:rPr>
          <w:sz w:val="24"/>
          <w:szCs w:val="24"/>
          <w:lang w:val="cs-CZ"/>
        </w:rPr>
        <w:t>objednávka</w:t>
      </w:r>
      <w:r w:rsidRPr="00562F40">
        <w:rPr>
          <w:sz w:val="24"/>
          <w:szCs w:val="24"/>
          <w:lang w:val="cs-CZ"/>
        </w:rPr>
        <w:t xml:space="preserve"> </w:t>
      </w:r>
      <w:r w:rsidR="000D6EAC" w:rsidRPr="00562F40">
        <w:rPr>
          <w:sz w:val="24"/>
          <w:szCs w:val="24"/>
          <w:lang w:val="cs-CZ"/>
        </w:rPr>
        <w:t>pro</w:t>
      </w:r>
      <w:r w:rsidRPr="00562F40">
        <w:rPr>
          <w:sz w:val="24"/>
          <w:szCs w:val="24"/>
          <w:lang w:val="cs-CZ"/>
        </w:rPr>
        <w:t xml:space="preserve"> </w:t>
      </w:r>
      <w:proofErr w:type="spellStart"/>
      <w:r w:rsidRPr="00562F40">
        <w:rPr>
          <w:sz w:val="24"/>
          <w:szCs w:val="24"/>
          <w:lang w:val="cs-CZ"/>
        </w:rPr>
        <w:t>Banknote</w:t>
      </w:r>
      <w:proofErr w:type="spellEnd"/>
      <w:r w:rsidRPr="00562F40">
        <w:rPr>
          <w:sz w:val="24"/>
          <w:szCs w:val="24"/>
          <w:lang w:val="cs-CZ"/>
        </w:rPr>
        <w:t xml:space="preserve"> </w:t>
      </w:r>
      <w:proofErr w:type="spellStart"/>
      <w:r w:rsidRPr="00562F40">
        <w:rPr>
          <w:sz w:val="24"/>
          <w:szCs w:val="24"/>
          <w:lang w:val="cs-CZ"/>
        </w:rPr>
        <w:t>Solutions</w:t>
      </w:r>
      <w:proofErr w:type="spellEnd"/>
      <w:r w:rsidRPr="00562F40">
        <w:rPr>
          <w:sz w:val="24"/>
          <w:szCs w:val="24"/>
          <w:lang w:val="cs-CZ"/>
        </w:rPr>
        <w:t xml:space="preserve"> </w:t>
      </w:r>
      <w:r w:rsidR="000D6EAC" w:rsidRPr="00562F40">
        <w:rPr>
          <w:sz w:val="24"/>
          <w:szCs w:val="24"/>
          <w:lang w:val="cs-CZ"/>
        </w:rPr>
        <w:t>od „</w:t>
      </w:r>
      <w:proofErr w:type="spellStart"/>
      <w:r w:rsidR="000D6EAC" w:rsidRPr="00562F40">
        <w:rPr>
          <w:sz w:val="24"/>
          <w:szCs w:val="24"/>
          <w:lang w:val="cs-CZ"/>
        </w:rPr>
        <w:t>Bureau</w:t>
      </w:r>
      <w:proofErr w:type="spellEnd"/>
      <w:r w:rsidR="000D6EAC" w:rsidRPr="00562F40">
        <w:rPr>
          <w:sz w:val="24"/>
          <w:szCs w:val="24"/>
          <w:lang w:val="cs-CZ"/>
        </w:rPr>
        <w:t xml:space="preserve"> </w:t>
      </w:r>
      <w:proofErr w:type="spellStart"/>
      <w:r w:rsidR="000D6EAC" w:rsidRPr="00562F40">
        <w:rPr>
          <w:sz w:val="24"/>
          <w:szCs w:val="24"/>
          <w:lang w:val="cs-CZ"/>
        </w:rPr>
        <w:t>of</w:t>
      </w:r>
      <w:proofErr w:type="spellEnd"/>
      <w:r w:rsidR="000D6EAC" w:rsidRPr="00562F40">
        <w:rPr>
          <w:sz w:val="24"/>
          <w:szCs w:val="24"/>
          <w:lang w:val="cs-CZ"/>
        </w:rPr>
        <w:t xml:space="preserve"> </w:t>
      </w:r>
      <w:proofErr w:type="spellStart"/>
      <w:r w:rsidR="000D6EAC" w:rsidRPr="00562F40">
        <w:rPr>
          <w:sz w:val="24"/>
          <w:szCs w:val="24"/>
          <w:lang w:val="cs-CZ"/>
        </w:rPr>
        <w:t>Engraving</w:t>
      </w:r>
      <w:proofErr w:type="spellEnd"/>
      <w:r w:rsidR="000D6EAC" w:rsidRPr="00562F40">
        <w:rPr>
          <w:sz w:val="24"/>
          <w:szCs w:val="24"/>
          <w:lang w:val="cs-CZ"/>
        </w:rPr>
        <w:t xml:space="preserve"> ad </w:t>
      </w:r>
      <w:proofErr w:type="spellStart"/>
      <w:r w:rsidR="000D6EAC" w:rsidRPr="00562F40">
        <w:rPr>
          <w:sz w:val="24"/>
          <w:szCs w:val="24"/>
          <w:lang w:val="cs-CZ"/>
        </w:rPr>
        <w:t>Printing</w:t>
      </w:r>
      <w:proofErr w:type="spellEnd"/>
      <w:r w:rsidR="000D6EAC" w:rsidRPr="00562F40">
        <w:rPr>
          <w:sz w:val="24"/>
          <w:szCs w:val="24"/>
          <w:lang w:val="cs-CZ"/>
        </w:rPr>
        <w:t xml:space="preserve">“ </w:t>
      </w:r>
      <w:r w:rsidRPr="00562F40">
        <w:rPr>
          <w:sz w:val="24"/>
          <w:szCs w:val="24"/>
          <w:lang w:val="cs-CZ"/>
        </w:rPr>
        <w:t>Federální tisk</w:t>
      </w:r>
      <w:r w:rsidR="000D6EAC" w:rsidRPr="00562F40">
        <w:rPr>
          <w:sz w:val="24"/>
          <w:szCs w:val="24"/>
          <w:lang w:val="cs-CZ"/>
        </w:rPr>
        <w:t>árny</w:t>
      </w:r>
      <w:r w:rsidRPr="00562F40">
        <w:rPr>
          <w:sz w:val="24"/>
          <w:szCs w:val="24"/>
          <w:lang w:val="cs-CZ"/>
        </w:rPr>
        <w:t xml:space="preserve"> Spojených států amerických ve Washingtonu, D.C. Tržby k 31. prosinci 2023 ve výši 413,7 milionu EUR byly mírně nižší než v předchozím roce, kdy činily 417,1 milionu EUR. </w:t>
      </w:r>
      <w:r w:rsidR="000D6EAC" w:rsidRPr="00562F40">
        <w:rPr>
          <w:sz w:val="24"/>
          <w:szCs w:val="24"/>
          <w:lang w:val="cs-CZ"/>
        </w:rPr>
        <w:t xml:space="preserve">Avšak </w:t>
      </w:r>
      <w:r w:rsidRPr="00562F40">
        <w:rPr>
          <w:sz w:val="24"/>
          <w:szCs w:val="24"/>
          <w:lang w:val="cs-CZ"/>
        </w:rPr>
        <w:t>EBIT</w:t>
      </w:r>
      <w:r w:rsidR="000D6EAC" w:rsidRPr="00562F40">
        <w:rPr>
          <w:sz w:val="24"/>
          <w:szCs w:val="24"/>
          <w:lang w:val="cs-CZ"/>
        </w:rPr>
        <w:t xml:space="preserve"> hodnota</w:t>
      </w:r>
      <w:r w:rsidRPr="00562F40">
        <w:rPr>
          <w:sz w:val="24"/>
          <w:szCs w:val="24"/>
          <w:lang w:val="cs-CZ"/>
        </w:rPr>
        <w:t xml:space="preserve"> </w:t>
      </w:r>
      <w:r w:rsidR="000D6EAC" w:rsidRPr="00562F40">
        <w:rPr>
          <w:sz w:val="24"/>
          <w:szCs w:val="24"/>
          <w:lang w:val="cs-CZ"/>
        </w:rPr>
        <w:t xml:space="preserve">23,0 mil. EUR </w:t>
      </w:r>
      <w:r w:rsidR="00333165">
        <w:rPr>
          <w:sz w:val="24"/>
          <w:szCs w:val="24"/>
          <w:lang w:val="cs-CZ"/>
        </w:rPr>
        <w:t xml:space="preserve">zaznamenala </w:t>
      </w:r>
      <w:r w:rsidR="000D6EAC" w:rsidRPr="00562F40">
        <w:rPr>
          <w:sz w:val="24"/>
          <w:szCs w:val="24"/>
          <w:lang w:val="cs-CZ"/>
        </w:rPr>
        <w:t xml:space="preserve">téměř </w:t>
      </w:r>
      <w:r w:rsidRPr="00562F40">
        <w:rPr>
          <w:sz w:val="24"/>
          <w:szCs w:val="24"/>
          <w:lang w:val="cs-CZ"/>
        </w:rPr>
        <w:t>úrov</w:t>
      </w:r>
      <w:r w:rsidR="00333165">
        <w:rPr>
          <w:sz w:val="24"/>
          <w:szCs w:val="24"/>
          <w:lang w:val="cs-CZ"/>
        </w:rPr>
        <w:t>eň</w:t>
      </w:r>
      <w:r w:rsidRPr="00562F40">
        <w:rPr>
          <w:sz w:val="24"/>
          <w:szCs w:val="24"/>
          <w:lang w:val="cs-CZ"/>
        </w:rPr>
        <w:t xml:space="preserve"> předchozího roku (23,2 mil. EUR).</w:t>
      </w:r>
      <w:r w:rsidRPr="00562F40">
        <w:rPr>
          <w:sz w:val="24"/>
          <w:szCs w:val="24"/>
          <w:lang w:val="cs-CZ"/>
        </w:rPr>
        <w:br/>
      </w:r>
    </w:p>
    <w:p w14:paraId="77A8501D" w14:textId="7B5B9B8E" w:rsidR="003F7623" w:rsidRPr="00562F40" w:rsidRDefault="000D6EAC">
      <w:pPr>
        <w:spacing w:after="0"/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 xml:space="preserve">V </w:t>
      </w:r>
      <w:r w:rsidRPr="00562F40">
        <w:rPr>
          <w:b/>
          <w:sz w:val="24"/>
          <w:szCs w:val="24"/>
          <w:lang w:val="cs-CZ"/>
        </w:rPr>
        <w:t xml:space="preserve">segmentu Sheetfed </w:t>
      </w:r>
      <w:r w:rsidR="00333165">
        <w:rPr>
          <w:sz w:val="24"/>
          <w:szCs w:val="24"/>
          <w:lang w:val="cs-CZ"/>
        </w:rPr>
        <w:t>se</w:t>
      </w:r>
      <w:r w:rsidRPr="00562F40">
        <w:rPr>
          <w:sz w:val="24"/>
          <w:szCs w:val="24"/>
          <w:lang w:val="cs-CZ"/>
        </w:rPr>
        <w:t xml:space="preserve"> příchozí objednávky</w:t>
      </w:r>
      <w:r w:rsidR="00333165">
        <w:rPr>
          <w:sz w:val="24"/>
          <w:szCs w:val="24"/>
          <w:lang w:val="cs-CZ"/>
        </w:rPr>
        <w:t xml:space="preserve"> </w:t>
      </w:r>
      <w:r w:rsidR="00333165" w:rsidRPr="00562F40">
        <w:rPr>
          <w:sz w:val="24"/>
          <w:szCs w:val="24"/>
          <w:lang w:val="cs-CZ"/>
        </w:rPr>
        <w:t>na konci hospodářského roku</w:t>
      </w:r>
      <w:r w:rsidRPr="00562F40">
        <w:rPr>
          <w:sz w:val="24"/>
          <w:szCs w:val="24"/>
          <w:lang w:val="cs-CZ"/>
        </w:rPr>
        <w:t xml:space="preserve"> </w:t>
      </w:r>
      <w:r w:rsidR="00333165">
        <w:rPr>
          <w:sz w:val="24"/>
          <w:szCs w:val="24"/>
          <w:lang w:val="cs-CZ"/>
        </w:rPr>
        <w:t xml:space="preserve">vyšplhaly </w:t>
      </w:r>
      <w:r w:rsidRPr="00562F40">
        <w:rPr>
          <w:sz w:val="24"/>
          <w:szCs w:val="24"/>
          <w:lang w:val="cs-CZ"/>
        </w:rPr>
        <w:t xml:space="preserve">po postupném zlepšování ve čtvrtém čtvrtletí </w:t>
      </w:r>
      <w:r w:rsidR="00333165">
        <w:rPr>
          <w:sz w:val="24"/>
          <w:szCs w:val="24"/>
          <w:lang w:val="cs-CZ"/>
        </w:rPr>
        <w:t xml:space="preserve">na </w:t>
      </w:r>
      <w:r w:rsidRPr="00562F40">
        <w:rPr>
          <w:sz w:val="24"/>
          <w:szCs w:val="24"/>
          <w:lang w:val="cs-CZ"/>
        </w:rPr>
        <w:t xml:space="preserve">606,2 milionu EUR, což je méně než v předchozím roce, kdy dosáhly mimořádně vysoké částky 813,5 milionu EUR. Tento vývoj byl charakterizován </w:t>
      </w:r>
      <w:r w:rsidR="00A23F74" w:rsidRPr="00562F40">
        <w:rPr>
          <w:sz w:val="24"/>
          <w:szCs w:val="24"/>
          <w:lang w:val="cs-CZ"/>
        </w:rPr>
        <w:t xml:space="preserve">dorovnávacími </w:t>
      </w:r>
      <w:r w:rsidRPr="00562F40">
        <w:rPr>
          <w:sz w:val="24"/>
          <w:szCs w:val="24"/>
          <w:lang w:val="cs-CZ"/>
        </w:rPr>
        <w:t xml:space="preserve">efekty souvisejícími s pandemií a zvýšeným </w:t>
      </w:r>
      <w:r w:rsidR="00A23F74" w:rsidRPr="00562F40">
        <w:rPr>
          <w:sz w:val="24"/>
          <w:szCs w:val="24"/>
          <w:lang w:val="cs-CZ"/>
        </w:rPr>
        <w:t xml:space="preserve">zásobením </w:t>
      </w:r>
      <w:r w:rsidRPr="00562F40">
        <w:rPr>
          <w:sz w:val="24"/>
          <w:szCs w:val="24"/>
          <w:lang w:val="cs-CZ"/>
        </w:rPr>
        <w:t xml:space="preserve">ze strany zákazníků a vlastníků značek v důsledku </w:t>
      </w:r>
      <w:r w:rsidR="00A23F74" w:rsidRPr="00562F40">
        <w:rPr>
          <w:sz w:val="24"/>
          <w:szCs w:val="24"/>
          <w:lang w:val="cs-CZ"/>
        </w:rPr>
        <w:t xml:space="preserve">problémů s </w:t>
      </w:r>
      <w:r w:rsidRPr="00562F40">
        <w:rPr>
          <w:sz w:val="24"/>
          <w:szCs w:val="24"/>
          <w:lang w:val="cs-CZ"/>
        </w:rPr>
        <w:t>dodávk</w:t>
      </w:r>
      <w:r w:rsidR="00A23F74" w:rsidRPr="00562F40">
        <w:rPr>
          <w:sz w:val="24"/>
          <w:szCs w:val="24"/>
          <w:lang w:val="cs-CZ"/>
        </w:rPr>
        <w:t>ami</w:t>
      </w:r>
      <w:r w:rsidRPr="00562F40">
        <w:rPr>
          <w:sz w:val="24"/>
          <w:szCs w:val="24"/>
          <w:lang w:val="cs-CZ"/>
        </w:rPr>
        <w:t xml:space="preserve"> a materiál</w:t>
      </w:r>
      <w:r w:rsidR="00A23F74" w:rsidRPr="00562F40">
        <w:rPr>
          <w:sz w:val="24"/>
          <w:szCs w:val="24"/>
          <w:lang w:val="cs-CZ"/>
        </w:rPr>
        <w:t>em</w:t>
      </w:r>
      <w:r w:rsidRPr="00562F40">
        <w:rPr>
          <w:sz w:val="24"/>
          <w:szCs w:val="24"/>
          <w:lang w:val="cs-CZ"/>
        </w:rPr>
        <w:t xml:space="preserve">. Po silném posledním čtvrtletí se tržby zvýšily o 16,0 % na 779,8 milionu EUR (v předchozím roce 672,2 milionu EUR). Tento vývoj se odráží i v </w:t>
      </w:r>
      <w:r w:rsidR="00A23F74" w:rsidRPr="00562F40">
        <w:rPr>
          <w:sz w:val="24"/>
          <w:szCs w:val="24"/>
          <w:lang w:val="cs-CZ"/>
        </w:rPr>
        <w:t>hodnotě</w:t>
      </w:r>
      <w:r w:rsidRPr="00562F40">
        <w:rPr>
          <w:sz w:val="24"/>
          <w:szCs w:val="24"/>
          <w:lang w:val="cs-CZ"/>
        </w:rPr>
        <w:t xml:space="preserve"> EBIT, kter</w:t>
      </w:r>
      <w:r w:rsidR="00A23F74" w:rsidRPr="00562F40">
        <w:rPr>
          <w:sz w:val="24"/>
          <w:szCs w:val="24"/>
          <w:lang w:val="cs-CZ"/>
        </w:rPr>
        <w:t>á</w:t>
      </w:r>
      <w:r w:rsidRPr="00562F40">
        <w:rPr>
          <w:sz w:val="24"/>
          <w:szCs w:val="24"/>
          <w:lang w:val="cs-CZ"/>
        </w:rPr>
        <w:t xml:space="preserve"> vzrostl</w:t>
      </w:r>
      <w:r w:rsidR="00202E04">
        <w:rPr>
          <w:sz w:val="24"/>
          <w:szCs w:val="24"/>
          <w:lang w:val="cs-CZ"/>
        </w:rPr>
        <w:t>a</w:t>
      </w:r>
      <w:r w:rsidRPr="00562F40">
        <w:rPr>
          <w:sz w:val="24"/>
          <w:szCs w:val="24"/>
          <w:lang w:val="cs-CZ"/>
        </w:rPr>
        <w:t xml:space="preserve"> o 56,8 % na 29,8 milionu EUR (v předchozím roce: 19,0 milionu EUR), </w:t>
      </w:r>
      <w:r w:rsidR="00A23F74" w:rsidRPr="00562F40">
        <w:rPr>
          <w:sz w:val="24"/>
          <w:szCs w:val="24"/>
          <w:lang w:val="cs-CZ"/>
        </w:rPr>
        <w:t xml:space="preserve">čímž segment pozitivně přispěl k zisku. </w:t>
      </w:r>
      <w:r w:rsidRPr="00562F40">
        <w:rPr>
          <w:sz w:val="24"/>
          <w:szCs w:val="24"/>
          <w:lang w:val="cs-CZ"/>
        </w:rPr>
        <w:t xml:space="preserve"> </w:t>
      </w:r>
    </w:p>
    <w:p w14:paraId="0F166BF6" w14:textId="7BDF1634" w:rsidR="003F7623" w:rsidRPr="00562F40" w:rsidRDefault="003A24E5">
      <w:pPr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lastRenderedPageBreak/>
        <w:t xml:space="preserve">Segment </w:t>
      </w:r>
      <w:r w:rsidRPr="00562F40">
        <w:rPr>
          <w:b/>
          <w:sz w:val="24"/>
          <w:szCs w:val="24"/>
          <w:lang w:val="cs-CZ"/>
        </w:rPr>
        <w:t xml:space="preserve">Digital &amp; </w:t>
      </w:r>
      <w:proofErr w:type="spellStart"/>
      <w:r w:rsidRPr="00562F40">
        <w:rPr>
          <w:b/>
          <w:sz w:val="24"/>
          <w:szCs w:val="24"/>
          <w:lang w:val="cs-CZ"/>
        </w:rPr>
        <w:t>Webfed</w:t>
      </w:r>
      <w:proofErr w:type="spellEnd"/>
      <w:r w:rsidRPr="00562F40">
        <w:rPr>
          <w:b/>
          <w:sz w:val="24"/>
          <w:szCs w:val="24"/>
          <w:lang w:val="cs-CZ"/>
        </w:rPr>
        <w:t xml:space="preserve"> </w:t>
      </w:r>
      <w:r w:rsidRPr="00562F40">
        <w:rPr>
          <w:bCs/>
          <w:sz w:val="24"/>
          <w:szCs w:val="24"/>
          <w:lang w:val="cs-CZ"/>
        </w:rPr>
        <w:t xml:space="preserve">zaznamenal </w:t>
      </w:r>
      <w:r w:rsidR="00A23F74" w:rsidRPr="00562F40">
        <w:rPr>
          <w:sz w:val="24"/>
          <w:szCs w:val="24"/>
          <w:lang w:val="cs-CZ"/>
        </w:rPr>
        <w:t xml:space="preserve">u </w:t>
      </w:r>
      <w:r w:rsidRPr="00562F40">
        <w:rPr>
          <w:sz w:val="24"/>
          <w:szCs w:val="24"/>
          <w:lang w:val="cs-CZ"/>
        </w:rPr>
        <w:t xml:space="preserve">příchozích </w:t>
      </w:r>
      <w:r w:rsidR="00A23F74" w:rsidRPr="00562F40">
        <w:rPr>
          <w:sz w:val="24"/>
          <w:szCs w:val="24"/>
          <w:lang w:val="cs-CZ"/>
        </w:rPr>
        <w:t xml:space="preserve">objednávek </w:t>
      </w:r>
      <w:r w:rsidR="00202E04" w:rsidRPr="00562F40">
        <w:rPr>
          <w:sz w:val="24"/>
          <w:szCs w:val="24"/>
          <w:lang w:val="cs-CZ"/>
        </w:rPr>
        <w:t xml:space="preserve">nárůst 9,9% </w:t>
      </w:r>
      <w:r w:rsidRPr="00562F40">
        <w:rPr>
          <w:sz w:val="24"/>
          <w:szCs w:val="24"/>
          <w:lang w:val="cs-CZ"/>
        </w:rPr>
        <w:t xml:space="preserve">na 179,8 milionu EUR (v předchozím roce 163,6 milionu EUR). Také tržby se meziročně zvýšily o 23,2 % na 172,3 milionu EUR (v předchozím roce 139,8 milionu EUR), a to i díky úspěšnému poslednímu čtvrtletí. EBIT byl </w:t>
      </w:r>
      <w:r w:rsidR="00202E04">
        <w:rPr>
          <w:sz w:val="24"/>
          <w:szCs w:val="24"/>
          <w:lang w:val="cs-CZ"/>
        </w:rPr>
        <w:t xml:space="preserve">však </w:t>
      </w:r>
      <w:r w:rsidRPr="00562F40">
        <w:rPr>
          <w:sz w:val="24"/>
          <w:szCs w:val="24"/>
          <w:lang w:val="cs-CZ"/>
        </w:rPr>
        <w:t xml:space="preserve">stále zatížen počátečními a následnými náklady v souvislosti s uvedením nových produktů </w:t>
      </w:r>
      <w:r w:rsidR="00202E04">
        <w:rPr>
          <w:sz w:val="24"/>
          <w:szCs w:val="24"/>
          <w:lang w:val="cs-CZ"/>
        </w:rPr>
        <w:t xml:space="preserve">na trh </w:t>
      </w:r>
      <w:r w:rsidR="00A46B09" w:rsidRPr="00562F40">
        <w:rPr>
          <w:sz w:val="24"/>
          <w:szCs w:val="24"/>
          <w:lang w:val="cs-CZ"/>
        </w:rPr>
        <w:t xml:space="preserve">pro </w:t>
      </w:r>
      <w:r w:rsidRPr="00562F40">
        <w:rPr>
          <w:sz w:val="24"/>
          <w:szCs w:val="24"/>
          <w:lang w:val="cs-CZ"/>
        </w:rPr>
        <w:t xml:space="preserve">flexotisk, </w:t>
      </w:r>
      <w:r w:rsidR="00A46B09" w:rsidRPr="00562F40">
        <w:rPr>
          <w:sz w:val="24"/>
          <w:szCs w:val="24"/>
          <w:lang w:val="cs-CZ"/>
        </w:rPr>
        <w:t xml:space="preserve">potisk </w:t>
      </w:r>
      <w:r w:rsidRPr="00562F40">
        <w:rPr>
          <w:sz w:val="24"/>
          <w:szCs w:val="24"/>
          <w:lang w:val="cs-CZ"/>
        </w:rPr>
        <w:t xml:space="preserve">vlnité lepenky a digitální tisk, zejména ve druhém a třetím čtvrtletí, a po dvanácti měsících činil -23,9 milionu EUR (předchozí rok: -19,3 milionu EUR).  </w:t>
      </w:r>
    </w:p>
    <w:p w14:paraId="6A3886EB" w14:textId="076DCD13" w:rsidR="003F7623" w:rsidRPr="00562F40" w:rsidRDefault="003A24E5">
      <w:pPr>
        <w:rPr>
          <w:color w:val="FF0000"/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 xml:space="preserve">Dr. </w:t>
      </w:r>
      <w:proofErr w:type="spellStart"/>
      <w:r w:rsidRPr="00562F40">
        <w:rPr>
          <w:sz w:val="24"/>
          <w:szCs w:val="24"/>
          <w:lang w:val="cs-CZ"/>
        </w:rPr>
        <w:t>Stephen</w:t>
      </w:r>
      <w:proofErr w:type="spellEnd"/>
      <w:r w:rsidRPr="00562F40">
        <w:rPr>
          <w:sz w:val="24"/>
          <w:szCs w:val="24"/>
          <w:lang w:val="cs-CZ"/>
        </w:rPr>
        <w:t xml:space="preserve"> </w:t>
      </w:r>
      <w:proofErr w:type="spellStart"/>
      <w:r w:rsidRPr="00562F40">
        <w:rPr>
          <w:sz w:val="24"/>
          <w:szCs w:val="24"/>
          <w:lang w:val="cs-CZ"/>
        </w:rPr>
        <w:t>Kimmich</w:t>
      </w:r>
      <w:proofErr w:type="spellEnd"/>
      <w:r w:rsidRPr="00562F40">
        <w:rPr>
          <w:sz w:val="24"/>
          <w:szCs w:val="24"/>
          <w:lang w:val="cs-CZ"/>
        </w:rPr>
        <w:t xml:space="preserve">, </w:t>
      </w:r>
      <w:r w:rsidR="00A46B09" w:rsidRPr="00562F40">
        <w:rPr>
          <w:sz w:val="24"/>
          <w:szCs w:val="24"/>
          <w:lang w:val="cs-CZ"/>
        </w:rPr>
        <w:t>CFO</w:t>
      </w:r>
      <w:r w:rsidRPr="00562F40">
        <w:rPr>
          <w:sz w:val="24"/>
          <w:szCs w:val="24"/>
          <w:lang w:val="cs-CZ"/>
        </w:rPr>
        <w:t xml:space="preserve">, k tomu </w:t>
      </w:r>
      <w:r w:rsidR="00A46B09" w:rsidRPr="00562F40">
        <w:rPr>
          <w:sz w:val="24"/>
          <w:szCs w:val="24"/>
          <w:lang w:val="cs-CZ"/>
        </w:rPr>
        <w:t>uvádí</w:t>
      </w:r>
      <w:r w:rsidRPr="00562F40">
        <w:rPr>
          <w:sz w:val="24"/>
          <w:szCs w:val="24"/>
          <w:lang w:val="cs-CZ"/>
        </w:rPr>
        <w:t xml:space="preserve">: </w:t>
      </w:r>
      <w:r w:rsidR="00A46B09" w:rsidRPr="00562F40">
        <w:rPr>
          <w:sz w:val="24"/>
          <w:szCs w:val="24"/>
          <w:lang w:val="cs-CZ"/>
        </w:rPr>
        <w:t>„</w:t>
      </w:r>
      <w:r w:rsidRPr="00562F40">
        <w:rPr>
          <w:sz w:val="24"/>
          <w:szCs w:val="24"/>
          <w:lang w:val="cs-CZ"/>
        </w:rPr>
        <w:t xml:space="preserve">Vzhledem k tomu, že se stále pohybujeme v </w:t>
      </w:r>
      <w:r w:rsidR="00A46B09" w:rsidRPr="00562F40">
        <w:rPr>
          <w:sz w:val="24"/>
          <w:szCs w:val="24"/>
          <w:lang w:val="cs-CZ"/>
        </w:rPr>
        <w:t>mimořádně</w:t>
      </w:r>
      <w:r w:rsidRPr="00562F40">
        <w:rPr>
          <w:sz w:val="24"/>
          <w:szCs w:val="24"/>
          <w:lang w:val="cs-CZ"/>
        </w:rPr>
        <w:t xml:space="preserve"> náročném tržním prostředí, </w:t>
      </w:r>
      <w:r w:rsidR="00202E04">
        <w:rPr>
          <w:sz w:val="24"/>
          <w:szCs w:val="24"/>
          <w:lang w:val="cs-CZ"/>
        </w:rPr>
        <w:t xml:space="preserve">jsme </w:t>
      </w:r>
      <w:r w:rsidRPr="00562F40">
        <w:rPr>
          <w:sz w:val="24"/>
          <w:szCs w:val="24"/>
          <w:lang w:val="cs-CZ"/>
        </w:rPr>
        <w:t xml:space="preserve">pokračovali v našem kurzu </w:t>
      </w:r>
      <w:r w:rsidR="00A46B09" w:rsidRPr="00562F40">
        <w:rPr>
          <w:sz w:val="24"/>
          <w:szCs w:val="24"/>
          <w:lang w:val="cs-CZ"/>
        </w:rPr>
        <w:t xml:space="preserve">průběžného </w:t>
      </w:r>
      <w:r w:rsidRPr="00562F40">
        <w:rPr>
          <w:sz w:val="24"/>
          <w:szCs w:val="24"/>
          <w:lang w:val="cs-CZ"/>
        </w:rPr>
        <w:t xml:space="preserve">zlepšování provozního výsledku. Nicméně jsme si vědomi, že budoucnost společnosti Koenig &amp; Bauer musí být ziskovější. Stejně </w:t>
      </w:r>
      <w:r w:rsidR="00202E04">
        <w:rPr>
          <w:sz w:val="24"/>
          <w:szCs w:val="24"/>
          <w:lang w:val="cs-CZ"/>
        </w:rPr>
        <w:t xml:space="preserve">tak </w:t>
      </w:r>
      <w:r w:rsidRPr="00562F40">
        <w:rPr>
          <w:sz w:val="24"/>
          <w:szCs w:val="24"/>
          <w:lang w:val="cs-CZ"/>
        </w:rPr>
        <w:t xml:space="preserve">jako naši úspěšní zákazníci se musíme zaměřit na hodnotové faktory, které jsou hnací silou naší transformace z výrobce </w:t>
      </w:r>
      <w:r w:rsidR="00A46B09" w:rsidRPr="00562F40">
        <w:rPr>
          <w:sz w:val="24"/>
          <w:szCs w:val="24"/>
          <w:lang w:val="cs-CZ"/>
        </w:rPr>
        <w:t xml:space="preserve">tiskových strojů </w:t>
      </w:r>
      <w:r w:rsidRPr="00562F40">
        <w:rPr>
          <w:sz w:val="24"/>
          <w:szCs w:val="24"/>
          <w:lang w:val="cs-CZ"/>
        </w:rPr>
        <w:t>na technologickou společnost. Musíme se také vypořádat s</w:t>
      </w:r>
      <w:r w:rsidR="00202E04">
        <w:rPr>
          <w:sz w:val="24"/>
          <w:szCs w:val="24"/>
          <w:lang w:val="cs-CZ"/>
        </w:rPr>
        <w:t xml:space="preserve"> </w:t>
      </w:r>
      <w:r w:rsidRPr="00562F40">
        <w:rPr>
          <w:sz w:val="24"/>
          <w:szCs w:val="24"/>
          <w:lang w:val="cs-CZ"/>
        </w:rPr>
        <w:t xml:space="preserve">výzvami světa, který se vyznačuje rychlými a nepředvídatelnými změnami." </w:t>
      </w:r>
    </w:p>
    <w:p w14:paraId="159CDB50" w14:textId="48804415" w:rsidR="003F7623" w:rsidRPr="00562F40" w:rsidRDefault="00A46B09">
      <w:pPr>
        <w:rPr>
          <w:sz w:val="24"/>
          <w:szCs w:val="24"/>
          <w:lang w:val="cs-CZ"/>
        </w:rPr>
      </w:pPr>
      <w:r w:rsidRPr="00562F40">
        <w:rPr>
          <w:b/>
          <w:color w:val="002355"/>
          <w:sz w:val="24"/>
          <w:szCs w:val="24"/>
          <w:lang w:val="cs-CZ"/>
        </w:rPr>
        <w:t>„</w:t>
      </w:r>
      <w:proofErr w:type="spellStart"/>
      <w:r w:rsidRPr="00562F40">
        <w:rPr>
          <w:b/>
          <w:color w:val="002355"/>
          <w:sz w:val="24"/>
          <w:szCs w:val="24"/>
          <w:lang w:val="cs-CZ"/>
        </w:rPr>
        <w:t>Spotlight</w:t>
      </w:r>
      <w:proofErr w:type="spellEnd"/>
      <w:r w:rsidRPr="00562F40">
        <w:rPr>
          <w:b/>
          <w:color w:val="002355"/>
          <w:sz w:val="24"/>
          <w:szCs w:val="24"/>
          <w:lang w:val="cs-CZ"/>
        </w:rPr>
        <w:t xml:space="preserve">“ jako výhled zaměřený na hnací síly růstu a </w:t>
      </w:r>
      <w:proofErr w:type="gramStart"/>
      <w:r w:rsidRPr="00562F40">
        <w:rPr>
          <w:b/>
          <w:color w:val="002355"/>
          <w:sz w:val="24"/>
          <w:szCs w:val="24"/>
          <w:lang w:val="cs-CZ"/>
        </w:rPr>
        <w:t xml:space="preserve">inovace                                </w:t>
      </w:r>
      <w:r w:rsidR="00202E04">
        <w:rPr>
          <w:sz w:val="24"/>
          <w:szCs w:val="24"/>
          <w:lang w:val="cs-CZ"/>
        </w:rPr>
        <w:t>Díky</w:t>
      </w:r>
      <w:proofErr w:type="gramEnd"/>
      <w:r w:rsidR="00202E04">
        <w:rPr>
          <w:sz w:val="24"/>
          <w:szCs w:val="24"/>
          <w:lang w:val="cs-CZ"/>
        </w:rPr>
        <w:t xml:space="preserve"> </w:t>
      </w:r>
      <w:r w:rsidRPr="00562F40">
        <w:rPr>
          <w:sz w:val="24"/>
          <w:szCs w:val="24"/>
          <w:lang w:val="cs-CZ"/>
        </w:rPr>
        <w:t>„</w:t>
      </w:r>
      <w:r w:rsidR="00492038">
        <w:rPr>
          <w:sz w:val="24"/>
          <w:szCs w:val="24"/>
          <w:lang w:val="cs-CZ"/>
        </w:rPr>
        <w:t>O</w:t>
      </w:r>
      <w:r w:rsidRPr="00562F40">
        <w:rPr>
          <w:sz w:val="24"/>
          <w:szCs w:val="24"/>
          <w:lang w:val="cs-CZ"/>
        </w:rPr>
        <w:t>fenzív</w:t>
      </w:r>
      <w:r w:rsidR="00202E04">
        <w:rPr>
          <w:sz w:val="24"/>
          <w:szCs w:val="24"/>
          <w:lang w:val="cs-CZ"/>
        </w:rPr>
        <w:t>ě</w:t>
      </w:r>
      <w:r w:rsidRPr="00562F40">
        <w:rPr>
          <w:sz w:val="24"/>
          <w:szCs w:val="24"/>
          <w:lang w:val="cs-CZ"/>
        </w:rPr>
        <w:t xml:space="preserve"> růstu 2023" přijat</w:t>
      </w:r>
      <w:r w:rsidR="00202E04">
        <w:rPr>
          <w:sz w:val="24"/>
          <w:szCs w:val="24"/>
          <w:lang w:val="cs-CZ"/>
        </w:rPr>
        <w:t>é</w:t>
      </w:r>
      <w:r w:rsidRPr="00562F40">
        <w:rPr>
          <w:sz w:val="24"/>
          <w:szCs w:val="24"/>
          <w:lang w:val="cs-CZ"/>
        </w:rPr>
        <w:t xml:space="preserve"> v roce 2018, jejímž cílem bylo proaktivně využívat dostupné tržní příležitosti, zejména v oblasti digitálního tisku, </w:t>
      </w:r>
      <w:r w:rsidR="00851D57" w:rsidRPr="00562F40">
        <w:rPr>
          <w:sz w:val="24"/>
          <w:szCs w:val="24"/>
          <w:lang w:val="cs-CZ"/>
        </w:rPr>
        <w:t>po</w:t>
      </w:r>
      <w:r w:rsidRPr="00562F40">
        <w:rPr>
          <w:sz w:val="24"/>
          <w:szCs w:val="24"/>
          <w:lang w:val="cs-CZ"/>
        </w:rPr>
        <w:t xml:space="preserve">tisku vlnité lepenky, </w:t>
      </w:r>
      <w:r w:rsidR="00851D57" w:rsidRPr="00562F40">
        <w:rPr>
          <w:sz w:val="24"/>
          <w:szCs w:val="24"/>
          <w:lang w:val="cs-CZ"/>
        </w:rPr>
        <w:t>kartonáže</w:t>
      </w:r>
      <w:r w:rsidRPr="00562F40">
        <w:rPr>
          <w:sz w:val="24"/>
          <w:szCs w:val="24"/>
          <w:lang w:val="cs-CZ"/>
        </w:rPr>
        <w:t xml:space="preserve"> a flexibilních obalů a v oblas</w:t>
      </w:r>
      <w:r w:rsidR="00946699">
        <w:rPr>
          <w:sz w:val="24"/>
          <w:szCs w:val="24"/>
          <w:lang w:val="cs-CZ"/>
        </w:rPr>
        <w:t>ti post</w:t>
      </w:r>
      <w:r w:rsidRPr="00562F40">
        <w:rPr>
          <w:sz w:val="24"/>
          <w:szCs w:val="24"/>
          <w:lang w:val="cs-CZ"/>
        </w:rPr>
        <w:t>press</w:t>
      </w:r>
      <w:r w:rsidR="00946699">
        <w:rPr>
          <w:sz w:val="24"/>
          <w:szCs w:val="24"/>
          <w:lang w:val="cs-CZ"/>
        </w:rPr>
        <w:t>u</w:t>
      </w:r>
      <w:r w:rsidRPr="00562F40">
        <w:rPr>
          <w:sz w:val="24"/>
          <w:szCs w:val="24"/>
          <w:lang w:val="cs-CZ"/>
        </w:rPr>
        <w:t xml:space="preserve">, společnost Koenig &amp; Bauer výrazně pokročila ve své transformaci z výrobce tiskových strojů na technologickou společnost. Společnost je </w:t>
      </w:r>
      <w:r w:rsidR="00851D57" w:rsidRPr="00562F40">
        <w:rPr>
          <w:sz w:val="24"/>
          <w:szCs w:val="24"/>
          <w:lang w:val="cs-CZ"/>
        </w:rPr>
        <w:t xml:space="preserve">tak </w:t>
      </w:r>
      <w:r w:rsidRPr="00562F40">
        <w:rPr>
          <w:sz w:val="24"/>
          <w:szCs w:val="24"/>
          <w:lang w:val="cs-CZ"/>
        </w:rPr>
        <w:t xml:space="preserve">na správné cestě, ale vnější i vnitřní faktory vedou k rostoucí </w:t>
      </w:r>
      <w:r w:rsidR="00851D57" w:rsidRPr="00562F40">
        <w:rPr>
          <w:sz w:val="24"/>
          <w:szCs w:val="24"/>
          <w:lang w:val="cs-CZ"/>
        </w:rPr>
        <w:t>komplexnosti</w:t>
      </w:r>
      <w:r w:rsidRPr="00562F40">
        <w:rPr>
          <w:sz w:val="24"/>
          <w:szCs w:val="24"/>
          <w:lang w:val="cs-CZ"/>
        </w:rPr>
        <w:t xml:space="preserve"> a zvyšujícím se nákladům. Představenstvo proto na konci roku 2023 zahájilo </w:t>
      </w:r>
      <w:r w:rsidR="00851D57" w:rsidRPr="00562F40">
        <w:rPr>
          <w:sz w:val="24"/>
          <w:szCs w:val="24"/>
          <w:lang w:val="cs-CZ"/>
        </w:rPr>
        <w:t xml:space="preserve">cílený </w:t>
      </w:r>
      <w:r w:rsidRPr="00562F40">
        <w:rPr>
          <w:sz w:val="24"/>
          <w:szCs w:val="24"/>
          <w:lang w:val="cs-CZ"/>
        </w:rPr>
        <w:t xml:space="preserve">program </w:t>
      </w:r>
      <w:r w:rsidR="00851D57" w:rsidRPr="00562F40">
        <w:rPr>
          <w:sz w:val="24"/>
          <w:szCs w:val="24"/>
          <w:lang w:val="cs-CZ"/>
        </w:rPr>
        <w:t>„</w:t>
      </w:r>
      <w:proofErr w:type="spellStart"/>
      <w:r w:rsidRPr="00562F40">
        <w:rPr>
          <w:sz w:val="24"/>
          <w:szCs w:val="24"/>
          <w:lang w:val="cs-CZ"/>
        </w:rPr>
        <w:t>Spotlight</w:t>
      </w:r>
      <w:proofErr w:type="spellEnd"/>
      <w:r w:rsidR="00851D57" w:rsidRPr="00562F40">
        <w:rPr>
          <w:sz w:val="24"/>
          <w:szCs w:val="24"/>
          <w:lang w:val="cs-CZ"/>
        </w:rPr>
        <w:t>“</w:t>
      </w:r>
      <w:r w:rsidRPr="00562F40">
        <w:rPr>
          <w:sz w:val="24"/>
          <w:szCs w:val="24"/>
          <w:lang w:val="cs-CZ"/>
        </w:rPr>
        <w:t xml:space="preserve">. </w:t>
      </w:r>
    </w:p>
    <w:p w14:paraId="3D963BCB" w14:textId="4B4159EB" w:rsidR="003F7623" w:rsidRPr="00562F40" w:rsidRDefault="00DB01B7">
      <w:pPr>
        <w:spacing w:after="0"/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 xml:space="preserve">Předseda představenstva Dr. Andreas </w:t>
      </w:r>
      <w:proofErr w:type="spellStart"/>
      <w:r w:rsidRPr="00562F40">
        <w:rPr>
          <w:sz w:val="24"/>
          <w:szCs w:val="24"/>
          <w:lang w:val="cs-CZ"/>
        </w:rPr>
        <w:t>Pleßke</w:t>
      </w:r>
      <w:proofErr w:type="spellEnd"/>
      <w:r w:rsidRPr="00562F40">
        <w:rPr>
          <w:sz w:val="24"/>
          <w:szCs w:val="24"/>
          <w:lang w:val="cs-CZ"/>
        </w:rPr>
        <w:t xml:space="preserve"> shrnuje: „Stále platí, že co zaseješ, to sklidíš. Na iniciativách pro růst jsme prozíravě začali pracovat již v roce 2018. Díky této mentalitě jsme již více než 200 let lídrem v mnoha oblastech trhu a technologických oborech. A zůstaneme jím i nadále. Nyní jsme téměř dokončili fázi setby a chceme sklízet úrodu. O to se postará i program „</w:t>
      </w:r>
      <w:proofErr w:type="spellStart"/>
      <w:r w:rsidRPr="00562F40">
        <w:rPr>
          <w:sz w:val="24"/>
          <w:szCs w:val="24"/>
          <w:lang w:val="cs-CZ"/>
        </w:rPr>
        <w:t>Spotlight</w:t>
      </w:r>
      <w:proofErr w:type="spellEnd"/>
      <w:r w:rsidRPr="00562F40">
        <w:rPr>
          <w:sz w:val="24"/>
          <w:szCs w:val="24"/>
          <w:lang w:val="cs-CZ"/>
        </w:rPr>
        <w:t xml:space="preserve">“, v němž upřednostňujeme iniciativy a obchodní modely, které posilují zisk a finanční sílu, nezaměřujeme se na iniciativy, které nemají přímý dopad na zisk, a optimalizujeme organizaci skupiny a segmentů i nepřímou strukturu nákladů, aby byly procesy ještě štíhlejší a vstřícnější k zákazníkům." Pod vedením Dr. Andrease </w:t>
      </w:r>
      <w:proofErr w:type="spellStart"/>
      <w:r w:rsidRPr="00562F40">
        <w:rPr>
          <w:sz w:val="24"/>
          <w:szCs w:val="24"/>
          <w:lang w:val="cs-CZ"/>
        </w:rPr>
        <w:t>Pleßkeho</w:t>
      </w:r>
      <w:proofErr w:type="spellEnd"/>
      <w:r w:rsidRPr="00562F40">
        <w:rPr>
          <w:sz w:val="24"/>
          <w:szCs w:val="24"/>
          <w:lang w:val="cs-CZ"/>
        </w:rPr>
        <w:t xml:space="preserve"> budou tato opatření v zásadě identifikována, realizována a dokončena v hospodářském roce 2024, i když jejich celoroční efekt se projeví až v roce 2025.</w:t>
      </w:r>
      <w:r w:rsidRPr="00562F40">
        <w:rPr>
          <w:sz w:val="24"/>
          <w:szCs w:val="24"/>
          <w:lang w:val="cs-CZ"/>
        </w:rPr>
        <w:br/>
      </w:r>
    </w:p>
    <w:p w14:paraId="4780A945" w14:textId="6FDCCE25" w:rsidR="003F7623" w:rsidRPr="00562F40" w:rsidRDefault="003A24E5">
      <w:pPr>
        <w:pStyle w:val="Nadpis3"/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 xml:space="preserve">Dr. </w:t>
      </w:r>
      <w:proofErr w:type="spellStart"/>
      <w:r w:rsidRPr="00562F40">
        <w:rPr>
          <w:sz w:val="24"/>
          <w:szCs w:val="24"/>
          <w:lang w:val="cs-CZ"/>
        </w:rPr>
        <w:t>Stephen</w:t>
      </w:r>
      <w:proofErr w:type="spellEnd"/>
      <w:r w:rsidRPr="00562F40">
        <w:rPr>
          <w:sz w:val="24"/>
          <w:szCs w:val="24"/>
          <w:lang w:val="cs-CZ"/>
        </w:rPr>
        <w:t xml:space="preserve"> </w:t>
      </w:r>
      <w:proofErr w:type="spellStart"/>
      <w:r w:rsidRPr="00562F40">
        <w:rPr>
          <w:sz w:val="24"/>
          <w:szCs w:val="24"/>
          <w:lang w:val="cs-CZ"/>
        </w:rPr>
        <w:t>Kimmich</w:t>
      </w:r>
      <w:proofErr w:type="spellEnd"/>
      <w:r w:rsidRPr="00562F40">
        <w:rPr>
          <w:sz w:val="24"/>
          <w:szCs w:val="24"/>
          <w:lang w:val="cs-CZ"/>
        </w:rPr>
        <w:t xml:space="preserve"> přebírá také segment</w:t>
      </w:r>
      <w:r w:rsidR="00DB01B7" w:rsidRPr="00562F40">
        <w:rPr>
          <w:sz w:val="24"/>
          <w:szCs w:val="24"/>
          <w:lang w:val="cs-CZ"/>
        </w:rPr>
        <w:t xml:space="preserve"> </w:t>
      </w:r>
      <w:proofErr w:type="spellStart"/>
      <w:r w:rsidR="00DB01B7" w:rsidRPr="00562F40">
        <w:rPr>
          <w:sz w:val="24"/>
          <w:szCs w:val="24"/>
          <w:lang w:val="cs-CZ"/>
        </w:rPr>
        <w:t>Special</w:t>
      </w:r>
      <w:proofErr w:type="spellEnd"/>
    </w:p>
    <w:p w14:paraId="2DEAA3B2" w14:textId="5591CD64" w:rsidR="003F7623" w:rsidRPr="00562F40" w:rsidRDefault="003A24E5">
      <w:pPr>
        <w:spacing w:after="0"/>
        <w:rPr>
          <w:color w:val="000000"/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 xml:space="preserve">V prosinci 2023 byl </w:t>
      </w:r>
      <w:r w:rsidR="007A4C6E" w:rsidRPr="00562F40">
        <w:rPr>
          <w:sz w:val="24"/>
          <w:szCs w:val="24"/>
          <w:lang w:val="cs-CZ"/>
        </w:rPr>
        <w:t>CFO,</w:t>
      </w:r>
      <w:r w:rsidRPr="00562F40">
        <w:rPr>
          <w:sz w:val="24"/>
          <w:szCs w:val="24"/>
          <w:lang w:val="cs-CZ"/>
        </w:rPr>
        <w:t xml:space="preserve"> Dr. </w:t>
      </w:r>
      <w:proofErr w:type="spellStart"/>
      <w:r w:rsidRPr="00562F40">
        <w:rPr>
          <w:sz w:val="24"/>
          <w:szCs w:val="24"/>
          <w:lang w:val="cs-CZ"/>
        </w:rPr>
        <w:t>Stephen</w:t>
      </w:r>
      <w:proofErr w:type="spellEnd"/>
      <w:r w:rsidRPr="00562F40">
        <w:rPr>
          <w:sz w:val="24"/>
          <w:szCs w:val="24"/>
          <w:lang w:val="cs-CZ"/>
        </w:rPr>
        <w:t xml:space="preserve"> </w:t>
      </w:r>
      <w:proofErr w:type="spellStart"/>
      <w:r w:rsidRPr="00562F40">
        <w:rPr>
          <w:sz w:val="24"/>
          <w:szCs w:val="24"/>
          <w:lang w:val="cs-CZ"/>
        </w:rPr>
        <w:t>Kimmich</w:t>
      </w:r>
      <w:proofErr w:type="spellEnd"/>
      <w:r w:rsidR="007A4C6E" w:rsidRPr="00562F40">
        <w:rPr>
          <w:sz w:val="24"/>
          <w:szCs w:val="24"/>
          <w:lang w:val="cs-CZ"/>
        </w:rPr>
        <w:t>,</w:t>
      </w:r>
      <w:r w:rsidRPr="00562F40">
        <w:rPr>
          <w:sz w:val="24"/>
          <w:szCs w:val="24"/>
          <w:lang w:val="cs-CZ"/>
        </w:rPr>
        <w:t xml:space="preserve"> jmenován místopředsedou představenstva, aby se </w:t>
      </w:r>
      <w:r w:rsidR="007A4C6E" w:rsidRPr="00562F40">
        <w:rPr>
          <w:sz w:val="24"/>
          <w:szCs w:val="24"/>
          <w:lang w:val="cs-CZ"/>
        </w:rPr>
        <w:t xml:space="preserve">v rámci </w:t>
      </w:r>
      <w:r w:rsidRPr="00562F40">
        <w:rPr>
          <w:sz w:val="24"/>
          <w:szCs w:val="24"/>
          <w:lang w:val="cs-CZ"/>
        </w:rPr>
        <w:t xml:space="preserve">své funkce finančního ředitele mohl ještě více zapojit do provozních činností. Od 1. dubna 2024 převezme v </w:t>
      </w:r>
      <w:r w:rsidR="007A4C6E" w:rsidRPr="00562F40">
        <w:rPr>
          <w:sz w:val="24"/>
          <w:szCs w:val="24"/>
          <w:lang w:val="cs-CZ"/>
        </w:rPr>
        <w:t>představenstvu</w:t>
      </w:r>
      <w:r w:rsidRPr="00562F40">
        <w:rPr>
          <w:sz w:val="24"/>
          <w:szCs w:val="24"/>
          <w:lang w:val="cs-CZ"/>
        </w:rPr>
        <w:t xml:space="preserve"> odpovědnost </w:t>
      </w:r>
      <w:r w:rsidRPr="00562F40">
        <w:rPr>
          <w:sz w:val="24"/>
          <w:szCs w:val="24"/>
          <w:lang w:val="cs-CZ"/>
        </w:rPr>
        <w:lastRenderedPageBreak/>
        <w:t>za segment</w:t>
      </w:r>
      <w:r w:rsidR="007A4C6E" w:rsidRPr="00562F40">
        <w:rPr>
          <w:sz w:val="24"/>
          <w:szCs w:val="24"/>
          <w:lang w:val="cs-CZ"/>
        </w:rPr>
        <w:t xml:space="preserve"> </w:t>
      </w:r>
      <w:proofErr w:type="spellStart"/>
      <w:r w:rsidR="007A4C6E" w:rsidRPr="00562F40">
        <w:rPr>
          <w:sz w:val="24"/>
          <w:szCs w:val="24"/>
          <w:lang w:val="cs-CZ"/>
        </w:rPr>
        <w:t>Special</w:t>
      </w:r>
      <w:proofErr w:type="spellEnd"/>
      <w:r w:rsidRPr="00562F40">
        <w:rPr>
          <w:sz w:val="24"/>
          <w:szCs w:val="24"/>
          <w:lang w:val="cs-CZ"/>
        </w:rPr>
        <w:t xml:space="preserve">, kterou dosud zastával </w:t>
      </w:r>
      <w:r w:rsidR="007A4C6E" w:rsidRPr="00562F40">
        <w:rPr>
          <w:sz w:val="24"/>
          <w:szCs w:val="24"/>
          <w:lang w:val="cs-CZ"/>
        </w:rPr>
        <w:t>předseda představenstva</w:t>
      </w:r>
      <w:r w:rsidRPr="00562F40">
        <w:rPr>
          <w:sz w:val="24"/>
          <w:szCs w:val="24"/>
          <w:lang w:val="cs-CZ"/>
        </w:rPr>
        <w:t xml:space="preserve"> Dr. Andreas </w:t>
      </w:r>
      <w:proofErr w:type="spellStart"/>
      <w:r w:rsidRPr="00562F40">
        <w:rPr>
          <w:sz w:val="24"/>
          <w:szCs w:val="24"/>
          <w:lang w:val="cs-CZ"/>
        </w:rPr>
        <w:t>Pleßke</w:t>
      </w:r>
      <w:proofErr w:type="spellEnd"/>
      <w:r w:rsidRPr="00562F40">
        <w:rPr>
          <w:sz w:val="24"/>
          <w:szCs w:val="24"/>
          <w:lang w:val="cs-CZ"/>
        </w:rPr>
        <w:t xml:space="preserve">. </w:t>
      </w:r>
      <w:r w:rsidR="007A4C6E" w:rsidRPr="00562F40">
        <w:rPr>
          <w:sz w:val="24"/>
          <w:szCs w:val="24"/>
          <w:lang w:val="cs-CZ"/>
        </w:rPr>
        <w:t xml:space="preserve">Prof. Dr.-Ing. </w:t>
      </w:r>
      <w:r w:rsidRPr="00562F40">
        <w:rPr>
          <w:sz w:val="24"/>
          <w:szCs w:val="24"/>
          <w:lang w:val="cs-CZ"/>
        </w:rPr>
        <w:t xml:space="preserve">Raimund </w:t>
      </w:r>
      <w:proofErr w:type="spellStart"/>
      <w:r w:rsidRPr="00562F40">
        <w:rPr>
          <w:sz w:val="24"/>
          <w:szCs w:val="24"/>
          <w:lang w:val="cs-CZ"/>
        </w:rPr>
        <w:t>Klinkner</w:t>
      </w:r>
      <w:proofErr w:type="spellEnd"/>
      <w:r w:rsidRPr="00562F40">
        <w:rPr>
          <w:sz w:val="24"/>
          <w:szCs w:val="24"/>
          <w:lang w:val="cs-CZ"/>
        </w:rPr>
        <w:t xml:space="preserve">, předseda dozorčí rady, k tomu uvedl: </w:t>
      </w:r>
      <w:r w:rsidR="007A4C6E" w:rsidRPr="00562F40">
        <w:rPr>
          <w:sz w:val="24"/>
          <w:szCs w:val="24"/>
          <w:lang w:val="cs-CZ"/>
        </w:rPr>
        <w:t>„</w:t>
      </w:r>
      <w:r w:rsidRPr="00562F40">
        <w:rPr>
          <w:sz w:val="24"/>
          <w:szCs w:val="24"/>
          <w:lang w:val="cs-CZ"/>
        </w:rPr>
        <w:t xml:space="preserve">Dr. </w:t>
      </w:r>
      <w:proofErr w:type="spellStart"/>
      <w:r w:rsidRPr="00562F40">
        <w:rPr>
          <w:sz w:val="24"/>
          <w:szCs w:val="24"/>
          <w:lang w:val="cs-CZ"/>
        </w:rPr>
        <w:t>Kimmich</w:t>
      </w:r>
      <w:proofErr w:type="spellEnd"/>
      <w:r w:rsidRPr="00562F40">
        <w:rPr>
          <w:sz w:val="24"/>
          <w:szCs w:val="24"/>
          <w:lang w:val="cs-CZ"/>
        </w:rPr>
        <w:t xml:space="preserve"> si v posledních letech získal nejen mimořádně dobrou pověst na kapitálovém trhu. Svou odpovědností za naši strategii fúzí a akvizic již také určil důležitý směr pro budoucnost z provozního hlediska. Jsme přesvědčeni, že své prozíravé </w:t>
      </w:r>
      <w:r w:rsidR="00D757FE" w:rsidRPr="00562F40">
        <w:rPr>
          <w:sz w:val="24"/>
          <w:szCs w:val="24"/>
          <w:lang w:val="cs-CZ"/>
        </w:rPr>
        <w:t>operativní</w:t>
      </w:r>
      <w:r w:rsidRPr="00562F40">
        <w:rPr>
          <w:sz w:val="24"/>
          <w:szCs w:val="24"/>
          <w:lang w:val="cs-CZ"/>
        </w:rPr>
        <w:t xml:space="preserve"> schopnosti nyní prokáže i v</w:t>
      </w:r>
      <w:r w:rsidR="00C67332" w:rsidRPr="00562F40">
        <w:rPr>
          <w:sz w:val="24"/>
          <w:szCs w:val="24"/>
          <w:lang w:val="cs-CZ"/>
        </w:rPr>
        <w:t xml:space="preserve"> </w:t>
      </w:r>
      <w:r w:rsidRPr="00562F40">
        <w:rPr>
          <w:sz w:val="24"/>
          <w:szCs w:val="24"/>
          <w:lang w:val="cs-CZ"/>
        </w:rPr>
        <w:t>segmentu</w:t>
      </w:r>
      <w:r w:rsidR="00C67332" w:rsidRPr="00562F40">
        <w:rPr>
          <w:sz w:val="24"/>
          <w:szCs w:val="24"/>
          <w:lang w:val="cs-CZ"/>
        </w:rPr>
        <w:t xml:space="preserve"> </w:t>
      </w:r>
      <w:proofErr w:type="spellStart"/>
      <w:r w:rsidR="00C67332" w:rsidRPr="00562F40">
        <w:rPr>
          <w:sz w:val="24"/>
          <w:szCs w:val="24"/>
          <w:lang w:val="cs-CZ"/>
        </w:rPr>
        <w:t>Special</w:t>
      </w:r>
      <w:proofErr w:type="spellEnd"/>
      <w:r w:rsidRPr="00562F40">
        <w:rPr>
          <w:sz w:val="24"/>
          <w:szCs w:val="24"/>
          <w:lang w:val="cs-CZ"/>
        </w:rPr>
        <w:t>.</w:t>
      </w:r>
      <w:r w:rsidR="00C67332" w:rsidRPr="00562F40">
        <w:rPr>
          <w:sz w:val="24"/>
          <w:szCs w:val="24"/>
          <w:lang w:val="cs-CZ"/>
        </w:rPr>
        <w:t>“</w:t>
      </w:r>
      <w:r w:rsidRPr="00562F40">
        <w:rPr>
          <w:sz w:val="24"/>
          <w:szCs w:val="24"/>
          <w:lang w:val="cs-CZ"/>
        </w:rPr>
        <w:t xml:space="preserve"> </w:t>
      </w:r>
      <w:r w:rsidRPr="00562F40">
        <w:rPr>
          <w:sz w:val="24"/>
          <w:szCs w:val="24"/>
          <w:lang w:val="cs-CZ"/>
        </w:rPr>
        <w:br/>
      </w:r>
    </w:p>
    <w:p w14:paraId="1D969F29" w14:textId="7CC59346" w:rsidR="003F7623" w:rsidRPr="00562F40" w:rsidRDefault="003A24E5">
      <w:pPr>
        <w:pStyle w:val="Nadpis3"/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>Výhled na rok 2024: provozní EBIT</w:t>
      </w:r>
      <w:r w:rsidR="00C67332" w:rsidRPr="00562F40">
        <w:rPr>
          <w:sz w:val="24"/>
          <w:szCs w:val="24"/>
          <w:lang w:val="cs-CZ"/>
        </w:rPr>
        <w:t xml:space="preserve"> marže</w:t>
      </w:r>
      <w:r w:rsidRPr="00562F40">
        <w:rPr>
          <w:sz w:val="24"/>
          <w:szCs w:val="24"/>
          <w:lang w:val="cs-CZ"/>
        </w:rPr>
        <w:t xml:space="preserve"> a vývoj tržeb na stabilní úrovni předchozího roku</w:t>
      </w:r>
    </w:p>
    <w:p w14:paraId="3664A3EA" w14:textId="466C545C" w:rsidR="003F7623" w:rsidRPr="00562F40" w:rsidRDefault="003A24E5">
      <w:pPr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>Společnost Koenig &amp; Bauer bude i v hospodářském roce 2024 čelit náročnému makroekonomickému prostředí. Přesto představenstvo očekává, že EBIT</w:t>
      </w:r>
      <w:r w:rsidR="00D757FE" w:rsidRPr="00562F40">
        <w:rPr>
          <w:sz w:val="24"/>
          <w:szCs w:val="24"/>
          <w:lang w:val="cs-CZ"/>
        </w:rPr>
        <w:t xml:space="preserve"> marže</w:t>
      </w:r>
      <w:r w:rsidRPr="00562F40">
        <w:rPr>
          <w:sz w:val="24"/>
          <w:szCs w:val="24"/>
          <w:lang w:val="cs-CZ"/>
        </w:rPr>
        <w:t xml:space="preserve"> a tržby zůstanou stabilní na úrovni předchozího roku. To odpovídá provoznímu výsledku ve výši 25 až 40 milionů EUR a tržbám ve výši přibližně 1,3 miliardy EUR. EBIT skupiny za rok 2024 však bude negativně ovlivněn až o 10 milionů EUR v důsledku výdajů na veletrh </w:t>
      </w:r>
      <w:proofErr w:type="spellStart"/>
      <w:r w:rsidRPr="00562F40">
        <w:rPr>
          <w:sz w:val="24"/>
          <w:szCs w:val="24"/>
          <w:lang w:val="cs-CZ"/>
        </w:rPr>
        <w:t>drupa</w:t>
      </w:r>
      <w:proofErr w:type="spellEnd"/>
      <w:r w:rsidRPr="00562F40">
        <w:rPr>
          <w:sz w:val="24"/>
          <w:szCs w:val="24"/>
          <w:lang w:val="cs-CZ"/>
        </w:rPr>
        <w:t>, největší světový veletrh tisk</w:t>
      </w:r>
      <w:r w:rsidR="00D757FE" w:rsidRPr="00562F40">
        <w:rPr>
          <w:sz w:val="24"/>
          <w:szCs w:val="24"/>
          <w:lang w:val="cs-CZ"/>
        </w:rPr>
        <w:t xml:space="preserve">ového </w:t>
      </w:r>
      <w:r w:rsidRPr="00562F40">
        <w:rPr>
          <w:sz w:val="24"/>
          <w:szCs w:val="24"/>
          <w:lang w:val="cs-CZ"/>
        </w:rPr>
        <w:t>a grafického průmyslu, který se bude konat v Düsseldorfu od konce května do začátku června</w:t>
      </w:r>
      <w:r w:rsidR="004F0E50" w:rsidRPr="00562F40">
        <w:rPr>
          <w:sz w:val="24"/>
          <w:szCs w:val="24"/>
          <w:lang w:val="cs-CZ"/>
        </w:rPr>
        <w:t xml:space="preserve">; po tomto jednorázovém vlivu </w:t>
      </w:r>
      <w:r w:rsidR="00D757FE" w:rsidRPr="00562F40">
        <w:rPr>
          <w:sz w:val="24"/>
          <w:szCs w:val="24"/>
          <w:lang w:val="cs-CZ"/>
        </w:rPr>
        <w:t xml:space="preserve">se </w:t>
      </w:r>
      <w:r w:rsidR="004F0E50" w:rsidRPr="00562F40">
        <w:rPr>
          <w:sz w:val="24"/>
          <w:szCs w:val="24"/>
          <w:lang w:val="cs-CZ"/>
        </w:rPr>
        <w:t xml:space="preserve">bude EBIT skupiny </w:t>
      </w:r>
      <w:r w:rsidR="00D757FE" w:rsidRPr="00562F40">
        <w:rPr>
          <w:sz w:val="24"/>
          <w:szCs w:val="24"/>
          <w:lang w:val="cs-CZ"/>
        </w:rPr>
        <w:t>pohybovat mezi</w:t>
      </w:r>
      <w:r w:rsidR="004F0E50" w:rsidRPr="00562F40">
        <w:rPr>
          <w:sz w:val="24"/>
          <w:szCs w:val="24"/>
          <w:lang w:val="cs-CZ"/>
        </w:rPr>
        <w:t xml:space="preserve"> </w:t>
      </w:r>
      <w:r w:rsidRPr="00562F40">
        <w:rPr>
          <w:sz w:val="24"/>
          <w:szCs w:val="24"/>
          <w:lang w:val="cs-CZ"/>
        </w:rPr>
        <w:t>15 až 30 milion</w:t>
      </w:r>
      <w:r w:rsidR="00D757FE" w:rsidRPr="00562F40">
        <w:rPr>
          <w:sz w:val="24"/>
          <w:szCs w:val="24"/>
          <w:lang w:val="cs-CZ"/>
        </w:rPr>
        <w:t>y</w:t>
      </w:r>
      <w:r w:rsidRPr="00562F40">
        <w:rPr>
          <w:sz w:val="24"/>
          <w:szCs w:val="24"/>
          <w:lang w:val="cs-CZ"/>
        </w:rPr>
        <w:t xml:space="preserve"> EUR.</w:t>
      </w:r>
    </w:p>
    <w:p w14:paraId="4DF10E71" w14:textId="2617B91D" w:rsidR="003F7623" w:rsidRPr="00562F40" w:rsidRDefault="003A24E5">
      <w:pPr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t xml:space="preserve">Očekává se, že segmenty </w:t>
      </w:r>
      <w:proofErr w:type="spellStart"/>
      <w:r w:rsidRPr="00562F40">
        <w:rPr>
          <w:sz w:val="24"/>
          <w:szCs w:val="24"/>
          <w:lang w:val="cs-CZ"/>
        </w:rPr>
        <w:t>Special</w:t>
      </w:r>
      <w:proofErr w:type="spellEnd"/>
      <w:r w:rsidRPr="00562F40">
        <w:rPr>
          <w:sz w:val="24"/>
          <w:szCs w:val="24"/>
          <w:lang w:val="cs-CZ"/>
        </w:rPr>
        <w:t xml:space="preserve"> a Digital &amp; </w:t>
      </w:r>
      <w:proofErr w:type="spellStart"/>
      <w:r w:rsidRPr="00562F40">
        <w:rPr>
          <w:sz w:val="24"/>
          <w:szCs w:val="24"/>
          <w:lang w:val="cs-CZ"/>
        </w:rPr>
        <w:t>Webfed</w:t>
      </w:r>
      <w:proofErr w:type="spellEnd"/>
      <w:r w:rsidRPr="00562F40">
        <w:rPr>
          <w:sz w:val="24"/>
          <w:szCs w:val="24"/>
          <w:lang w:val="cs-CZ"/>
        </w:rPr>
        <w:t xml:space="preserve"> </w:t>
      </w:r>
      <w:r w:rsidR="00D757FE" w:rsidRPr="00562F40">
        <w:rPr>
          <w:sz w:val="24"/>
          <w:szCs w:val="24"/>
          <w:lang w:val="cs-CZ"/>
        </w:rPr>
        <w:t>mimořádně přispějí jak k</w:t>
      </w:r>
      <w:r w:rsidRPr="00562F40">
        <w:rPr>
          <w:sz w:val="24"/>
          <w:szCs w:val="24"/>
          <w:lang w:val="cs-CZ"/>
        </w:rPr>
        <w:t xml:space="preserve"> EBIT</w:t>
      </w:r>
      <w:r w:rsidR="00D757FE" w:rsidRPr="00562F40">
        <w:rPr>
          <w:sz w:val="24"/>
          <w:szCs w:val="24"/>
          <w:lang w:val="cs-CZ"/>
        </w:rPr>
        <w:t xml:space="preserve"> výsledkům, tak i tržbám. </w:t>
      </w:r>
      <w:r w:rsidRPr="00562F40">
        <w:rPr>
          <w:sz w:val="24"/>
          <w:szCs w:val="24"/>
          <w:lang w:val="cs-CZ"/>
        </w:rPr>
        <w:t xml:space="preserve">Naopak u segmentu Sheetfed se </w:t>
      </w:r>
      <w:r w:rsidR="00C671A2">
        <w:rPr>
          <w:sz w:val="24"/>
          <w:szCs w:val="24"/>
          <w:lang w:val="cs-CZ"/>
        </w:rPr>
        <w:t>předpokládá</w:t>
      </w:r>
      <w:r w:rsidRPr="00562F40">
        <w:rPr>
          <w:sz w:val="24"/>
          <w:szCs w:val="24"/>
          <w:lang w:val="cs-CZ"/>
        </w:rPr>
        <w:t xml:space="preserve"> neúměrně nízký p</w:t>
      </w:r>
      <w:r w:rsidR="00C671A2">
        <w:rPr>
          <w:sz w:val="24"/>
          <w:szCs w:val="24"/>
          <w:lang w:val="cs-CZ"/>
        </w:rPr>
        <w:t xml:space="preserve">odíl na </w:t>
      </w:r>
      <w:r w:rsidR="00304A1E" w:rsidRPr="00562F40">
        <w:rPr>
          <w:sz w:val="24"/>
          <w:szCs w:val="24"/>
          <w:lang w:val="cs-CZ"/>
        </w:rPr>
        <w:t>výsledku a tržbá</w:t>
      </w:r>
      <w:r w:rsidR="00C671A2">
        <w:rPr>
          <w:sz w:val="24"/>
          <w:szCs w:val="24"/>
          <w:lang w:val="cs-CZ"/>
        </w:rPr>
        <w:t>ch</w:t>
      </w:r>
      <w:r w:rsidRPr="00562F40">
        <w:rPr>
          <w:sz w:val="24"/>
          <w:szCs w:val="24"/>
          <w:lang w:val="cs-CZ"/>
        </w:rPr>
        <w:t xml:space="preserve">, zejména v první polovině roku 2024. </w:t>
      </w:r>
      <w:r w:rsidR="00304A1E" w:rsidRPr="00562F40">
        <w:rPr>
          <w:sz w:val="24"/>
          <w:szCs w:val="24"/>
          <w:lang w:val="cs-CZ"/>
        </w:rPr>
        <w:t>Především</w:t>
      </w:r>
      <w:r w:rsidR="006C24CB" w:rsidRPr="00562F40">
        <w:rPr>
          <w:sz w:val="24"/>
          <w:szCs w:val="24"/>
          <w:lang w:val="cs-CZ"/>
        </w:rPr>
        <w:t xml:space="preserve"> v segmentu Sheetfed by vyčkávací postoj v období před </w:t>
      </w:r>
      <w:r w:rsidR="00304A1E" w:rsidRPr="00562F40">
        <w:rPr>
          <w:sz w:val="24"/>
          <w:szCs w:val="24"/>
          <w:lang w:val="cs-CZ"/>
        </w:rPr>
        <w:t>hlavním</w:t>
      </w:r>
      <w:r w:rsidR="006C24CB" w:rsidRPr="00562F40">
        <w:rPr>
          <w:sz w:val="24"/>
          <w:szCs w:val="24"/>
          <w:lang w:val="cs-CZ"/>
        </w:rPr>
        <w:t xml:space="preserve"> veletrhem </w:t>
      </w:r>
      <w:proofErr w:type="spellStart"/>
      <w:r w:rsidR="006C24CB" w:rsidRPr="00562F40">
        <w:rPr>
          <w:sz w:val="24"/>
          <w:szCs w:val="24"/>
          <w:lang w:val="cs-CZ"/>
        </w:rPr>
        <w:t>drupa</w:t>
      </w:r>
      <w:proofErr w:type="spellEnd"/>
      <w:r w:rsidR="006C24CB" w:rsidRPr="00562F40">
        <w:rPr>
          <w:sz w:val="24"/>
          <w:szCs w:val="24"/>
          <w:lang w:val="cs-CZ"/>
        </w:rPr>
        <w:t xml:space="preserve"> mohl vést k </w:t>
      </w:r>
      <w:r w:rsidR="00304A1E" w:rsidRPr="00562F40">
        <w:rPr>
          <w:sz w:val="24"/>
          <w:szCs w:val="24"/>
          <w:lang w:val="cs-CZ"/>
        </w:rPr>
        <w:t xml:space="preserve">zdrženlivému chování zákazníků. </w:t>
      </w:r>
      <w:r w:rsidRPr="00562F40">
        <w:rPr>
          <w:sz w:val="24"/>
          <w:szCs w:val="24"/>
          <w:lang w:val="cs-CZ"/>
        </w:rPr>
        <w:t xml:space="preserve">Vzhledem k pokračujícímu ekonomickému oslabení společnost </w:t>
      </w:r>
      <w:r w:rsidR="00C671A2">
        <w:rPr>
          <w:sz w:val="24"/>
          <w:szCs w:val="24"/>
          <w:lang w:val="cs-CZ"/>
        </w:rPr>
        <w:t>počítá s tím</w:t>
      </w:r>
      <w:r w:rsidRPr="00562F40">
        <w:rPr>
          <w:sz w:val="24"/>
          <w:szCs w:val="24"/>
          <w:lang w:val="cs-CZ"/>
        </w:rPr>
        <w:t xml:space="preserve">, že nejpozději do finančního roku 2026 dosáhne EBIT </w:t>
      </w:r>
      <w:r w:rsidR="00304A1E" w:rsidRPr="00562F40">
        <w:rPr>
          <w:sz w:val="24"/>
          <w:szCs w:val="24"/>
          <w:lang w:val="cs-CZ"/>
        </w:rPr>
        <w:t xml:space="preserve">marže </w:t>
      </w:r>
      <w:r w:rsidRPr="00562F40">
        <w:rPr>
          <w:sz w:val="24"/>
          <w:szCs w:val="24"/>
          <w:lang w:val="cs-CZ"/>
        </w:rPr>
        <w:t>ve výši 6 až 7 % z tržeb</w:t>
      </w:r>
      <w:r w:rsidR="00304A1E" w:rsidRPr="00562F40">
        <w:rPr>
          <w:sz w:val="24"/>
          <w:szCs w:val="24"/>
          <w:lang w:val="cs-CZ"/>
        </w:rPr>
        <w:t xml:space="preserve"> koncernu</w:t>
      </w:r>
      <w:r w:rsidRPr="00562F40">
        <w:rPr>
          <w:sz w:val="24"/>
          <w:szCs w:val="24"/>
          <w:lang w:val="cs-CZ"/>
        </w:rPr>
        <w:t xml:space="preserve"> ve výši 1,5 miliardy eur. Ve střednědobém horizontu je cílem dosáhnout tržeb skupiny ve výši přibližně 1,8 miliardy </w:t>
      </w:r>
      <w:r w:rsidR="00304A1E" w:rsidRPr="00562F40">
        <w:rPr>
          <w:sz w:val="24"/>
          <w:szCs w:val="24"/>
          <w:lang w:val="cs-CZ"/>
        </w:rPr>
        <w:t>EUR</w:t>
      </w:r>
      <w:r w:rsidRPr="00562F40">
        <w:rPr>
          <w:sz w:val="24"/>
          <w:szCs w:val="24"/>
          <w:lang w:val="cs-CZ"/>
        </w:rPr>
        <w:t xml:space="preserve"> a EBIT </w:t>
      </w:r>
      <w:r w:rsidR="00304A1E" w:rsidRPr="00562F40">
        <w:rPr>
          <w:sz w:val="24"/>
          <w:szCs w:val="24"/>
          <w:lang w:val="cs-CZ"/>
        </w:rPr>
        <w:t xml:space="preserve">marže </w:t>
      </w:r>
      <w:r w:rsidRPr="00562F40">
        <w:rPr>
          <w:sz w:val="24"/>
          <w:szCs w:val="24"/>
          <w:lang w:val="cs-CZ"/>
        </w:rPr>
        <w:t>8 až 9 %.</w:t>
      </w:r>
    </w:p>
    <w:p w14:paraId="33C3D500" w14:textId="7FC25A64" w:rsidR="003F7623" w:rsidRDefault="003A24E5">
      <w:pPr>
        <w:rPr>
          <w:sz w:val="24"/>
          <w:szCs w:val="24"/>
          <w:lang w:val="cs-CZ"/>
        </w:rPr>
      </w:pPr>
      <w:r w:rsidRPr="00562F40">
        <w:rPr>
          <w:b/>
          <w:color w:val="002355"/>
          <w:sz w:val="24"/>
          <w:szCs w:val="24"/>
          <w:lang w:val="cs-CZ"/>
        </w:rPr>
        <w:t xml:space="preserve">Budoucí dividendová politika s </w:t>
      </w:r>
      <w:r w:rsidR="00304A1E" w:rsidRPr="00562F40">
        <w:rPr>
          <w:b/>
          <w:color w:val="002355"/>
          <w:sz w:val="24"/>
          <w:szCs w:val="24"/>
          <w:lang w:val="cs-CZ"/>
        </w:rPr>
        <w:t xml:space="preserve">poměrem </w:t>
      </w:r>
      <w:r w:rsidR="004E1DC9" w:rsidRPr="00562F40">
        <w:rPr>
          <w:b/>
          <w:color w:val="002355"/>
          <w:sz w:val="24"/>
          <w:szCs w:val="24"/>
          <w:lang w:val="cs-CZ"/>
        </w:rPr>
        <w:t xml:space="preserve">výplat 15-35 % </w:t>
      </w:r>
      <w:r w:rsidR="00304A1E" w:rsidRPr="00562F40">
        <w:rPr>
          <w:b/>
          <w:color w:val="002355"/>
          <w:sz w:val="24"/>
          <w:szCs w:val="24"/>
          <w:lang w:val="cs-CZ"/>
        </w:rPr>
        <w:t>schválena</w:t>
      </w:r>
      <w:r w:rsidRPr="00562F40">
        <w:rPr>
          <w:sz w:val="24"/>
          <w:szCs w:val="24"/>
          <w:lang w:val="cs-CZ"/>
        </w:rPr>
        <w:br/>
        <w:t xml:space="preserve">Vzhledem k vývoji zisku v hospodářském roce 2023 a přetrvávajícímu náročnému prostředí na světových ekonomických trzích navrhne představenstvo a dozorčí rada valné hromadě, aby </w:t>
      </w:r>
      <w:r w:rsidR="00304A1E" w:rsidRPr="00562F40">
        <w:rPr>
          <w:sz w:val="24"/>
          <w:szCs w:val="24"/>
          <w:lang w:val="cs-CZ"/>
        </w:rPr>
        <w:t xml:space="preserve">byl </w:t>
      </w:r>
      <w:r w:rsidRPr="00562F40">
        <w:rPr>
          <w:sz w:val="24"/>
          <w:szCs w:val="24"/>
          <w:lang w:val="cs-CZ"/>
        </w:rPr>
        <w:t>čistý zisk vytvořený holdingovou společností Koenig &amp; Bauer AG převeden do nerozděleného zisku, a tím bylo upuštěno od výplaty dividend za hospodářský rok 2023. Protože je však pro společnost Koenig &amp; Bauer velmi důležitá přiměřená účast akcionářů na úspěchu společnosti, byla přijata budoucí dividendová politika, jejímž cílem je v případě ziskového vývoje hospodaření v daném roce rozdělit 15-35 % konsolidovaného čistého zisku s minimální dividendou ve výši 0,3 EUR na akcii.</w:t>
      </w:r>
    </w:p>
    <w:p w14:paraId="2BCCB256" w14:textId="77777777" w:rsidR="00562F40" w:rsidRPr="00562F40" w:rsidRDefault="00562F40">
      <w:pPr>
        <w:rPr>
          <w:sz w:val="24"/>
          <w:szCs w:val="24"/>
          <w:lang w:val="cs-CZ"/>
        </w:rPr>
      </w:pPr>
    </w:p>
    <w:p w14:paraId="7ACF3391" w14:textId="7E4ABE4E" w:rsidR="003F7623" w:rsidRPr="00562F40" w:rsidRDefault="003A24E5">
      <w:pPr>
        <w:rPr>
          <w:sz w:val="24"/>
          <w:szCs w:val="24"/>
          <w:lang w:val="cs-CZ"/>
        </w:rPr>
      </w:pPr>
      <w:r w:rsidRPr="00562F40">
        <w:rPr>
          <w:sz w:val="24"/>
          <w:szCs w:val="24"/>
          <w:lang w:val="cs-CZ"/>
        </w:rPr>
        <w:lastRenderedPageBreak/>
        <w:t xml:space="preserve">Společnost zveřejní auditovanou roční účetní závěrku a výroční zprávu za rok 2023 dne 27. března 2024. Ve stejný den uspořádá Koenig &amp; Bauer </w:t>
      </w:r>
      <w:r w:rsidR="00304A1E" w:rsidRPr="00562F40">
        <w:rPr>
          <w:sz w:val="24"/>
          <w:szCs w:val="24"/>
          <w:lang w:val="cs-CZ"/>
        </w:rPr>
        <w:t>telekonferenci</w:t>
      </w:r>
      <w:r w:rsidRPr="00562F40">
        <w:rPr>
          <w:sz w:val="24"/>
          <w:szCs w:val="24"/>
          <w:lang w:val="cs-CZ"/>
        </w:rPr>
        <w:t xml:space="preserve"> (v angličtině) pro analytiky a investory. </w:t>
      </w:r>
      <w:r w:rsidR="00304A1E" w:rsidRPr="00562F40">
        <w:rPr>
          <w:sz w:val="24"/>
          <w:szCs w:val="24"/>
          <w:lang w:val="cs-CZ"/>
        </w:rPr>
        <w:t xml:space="preserve">Telekonference </w:t>
      </w:r>
      <w:r w:rsidRPr="00562F40">
        <w:rPr>
          <w:sz w:val="24"/>
          <w:szCs w:val="24"/>
          <w:lang w:val="cs-CZ"/>
        </w:rPr>
        <w:t xml:space="preserve">bude následně k dispozici na internetových stránkách společnosti Koenig &amp; Bauer.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E1DC9" w:rsidRPr="00562F40" w14:paraId="1DE78832" w14:textId="77777777" w:rsidTr="004E1DC9">
        <w:tc>
          <w:tcPr>
            <w:tcW w:w="3020" w:type="dxa"/>
          </w:tcPr>
          <w:p w14:paraId="79FA4852" w14:textId="77777777" w:rsidR="003F7623" w:rsidRPr="00562F40" w:rsidRDefault="003A24E5">
            <w:pPr>
              <w:rPr>
                <w:lang w:val="cs-CZ"/>
              </w:rPr>
            </w:pPr>
            <w:bookmarkStart w:id="2" w:name="_heading=h.3znysh7" w:colFirst="0" w:colLast="0"/>
            <w:bookmarkEnd w:id="2"/>
            <w:r w:rsidRPr="00562F40">
              <w:rPr>
                <w:sz w:val="18"/>
                <w:lang w:val="cs-CZ"/>
              </w:rPr>
              <w:t>milionů €</w:t>
            </w:r>
          </w:p>
        </w:tc>
        <w:tc>
          <w:tcPr>
            <w:tcW w:w="3020" w:type="dxa"/>
          </w:tcPr>
          <w:p w14:paraId="11B55B5E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2022</w:t>
            </w:r>
          </w:p>
        </w:tc>
        <w:tc>
          <w:tcPr>
            <w:tcW w:w="3020" w:type="dxa"/>
          </w:tcPr>
          <w:p w14:paraId="757ED613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2023</w:t>
            </w:r>
          </w:p>
        </w:tc>
      </w:tr>
      <w:tr w:rsidR="004E1DC9" w:rsidRPr="00562F40" w14:paraId="56A1CFD4" w14:textId="77777777" w:rsidTr="004C417D">
        <w:tc>
          <w:tcPr>
            <w:tcW w:w="9060" w:type="dxa"/>
            <w:gridSpan w:val="3"/>
          </w:tcPr>
          <w:p w14:paraId="5660B237" w14:textId="77777777" w:rsidR="003F7623" w:rsidRPr="00562F40" w:rsidRDefault="003A24E5">
            <w:pPr>
              <w:rPr>
                <w:b/>
                <w:lang w:val="cs-CZ"/>
              </w:rPr>
            </w:pPr>
            <w:bookmarkStart w:id="3" w:name="_GoBack"/>
            <w:r w:rsidRPr="00562F40">
              <w:rPr>
                <w:b/>
                <w:sz w:val="22"/>
                <w:lang w:val="cs-CZ"/>
              </w:rPr>
              <w:t>Příchozí objednávky</w:t>
            </w:r>
            <w:bookmarkEnd w:id="3"/>
          </w:p>
        </w:tc>
      </w:tr>
      <w:tr w:rsidR="004E1DC9" w:rsidRPr="00562F40" w14:paraId="1A1C5B26" w14:textId="77777777" w:rsidTr="004E1DC9">
        <w:tc>
          <w:tcPr>
            <w:tcW w:w="3020" w:type="dxa"/>
          </w:tcPr>
          <w:p w14:paraId="18AEEEC8" w14:textId="676CAE71" w:rsidR="003F7623" w:rsidRPr="00562F40" w:rsidRDefault="00304A1E">
            <w:pPr>
              <w:rPr>
                <w:lang w:val="cs-CZ"/>
              </w:rPr>
            </w:pPr>
            <w:r w:rsidRPr="00562F40">
              <w:rPr>
                <w:lang w:val="cs-CZ"/>
              </w:rPr>
              <w:t>Sheetfed</w:t>
            </w:r>
          </w:p>
        </w:tc>
        <w:tc>
          <w:tcPr>
            <w:tcW w:w="3020" w:type="dxa"/>
          </w:tcPr>
          <w:p w14:paraId="0A0B1E50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813,5</w:t>
            </w:r>
          </w:p>
        </w:tc>
        <w:tc>
          <w:tcPr>
            <w:tcW w:w="3020" w:type="dxa"/>
          </w:tcPr>
          <w:p w14:paraId="6796AA9E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606,2</w:t>
            </w:r>
          </w:p>
        </w:tc>
      </w:tr>
      <w:tr w:rsidR="004E1DC9" w:rsidRPr="00562F40" w14:paraId="012CB5B2" w14:textId="77777777" w:rsidTr="004E1DC9">
        <w:tc>
          <w:tcPr>
            <w:tcW w:w="3020" w:type="dxa"/>
          </w:tcPr>
          <w:p w14:paraId="4CE17BEC" w14:textId="220AE712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Digit</w:t>
            </w:r>
            <w:r w:rsidR="0062415D" w:rsidRPr="00562F40">
              <w:rPr>
                <w:lang w:val="cs-CZ"/>
              </w:rPr>
              <w:t>a</w:t>
            </w:r>
            <w:r w:rsidRPr="00562F40">
              <w:rPr>
                <w:lang w:val="cs-CZ"/>
              </w:rPr>
              <w:t xml:space="preserve">l &amp; </w:t>
            </w:r>
            <w:proofErr w:type="spellStart"/>
            <w:r w:rsidRPr="00562F40">
              <w:rPr>
                <w:lang w:val="cs-CZ"/>
              </w:rPr>
              <w:t>Webfed</w:t>
            </w:r>
            <w:proofErr w:type="spellEnd"/>
          </w:p>
        </w:tc>
        <w:tc>
          <w:tcPr>
            <w:tcW w:w="3020" w:type="dxa"/>
          </w:tcPr>
          <w:p w14:paraId="015BF2A4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163,6</w:t>
            </w:r>
          </w:p>
        </w:tc>
        <w:tc>
          <w:tcPr>
            <w:tcW w:w="3020" w:type="dxa"/>
          </w:tcPr>
          <w:p w14:paraId="3F783241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179,8</w:t>
            </w:r>
          </w:p>
        </w:tc>
      </w:tr>
      <w:tr w:rsidR="004E1DC9" w:rsidRPr="00562F40" w14:paraId="49E5009A" w14:textId="77777777" w:rsidTr="004E1DC9">
        <w:tc>
          <w:tcPr>
            <w:tcW w:w="3020" w:type="dxa"/>
          </w:tcPr>
          <w:p w14:paraId="2B431095" w14:textId="0681CC50" w:rsidR="003F7623" w:rsidRPr="00562F40" w:rsidRDefault="003A24E5">
            <w:pPr>
              <w:rPr>
                <w:lang w:val="cs-CZ"/>
              </w:rPr>
            </w:pPr>
            <w:proofErr w:type="spellStart"/>
            <w:r w:rsidRPr="00562F40">
              <w:rPr>
                <w:lang w:val="cs-CZ"/>
              </w:rPr>
              <w:t>Speci</w:t>
            </w:r>
            <w:r w:rsidR="0062415D" w:rsidRPr="00562F40">
              <w:rPr>
                <w:lang w:val="cs-CZ"/>
              </w:rPr>
              <w:t>a</w:t>
            </w:r>
            <w:r w:rsidRPr="00562F40">
              <w:rPr>
                <w:lang w:val="cs-CZ"/>
              </w:rPr>
              <w:t>l</w:t>
            </w:r>
            <w:proofErr w:type="spellEnd"/>
          </w:p>
        </w:tc>
        <w:tc>
          <w:tcPr>
            <w:tcW w:w="3020" w:type="dxa"/>
          </w:tcPr>
          <w:p w14:paraId="46DFF055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392,9</w:t>
            </w:r>
          </w:p>
        </w:tc>
        <w:tc>
          <w:tcPr>
            <w:tcW w:w="3020" w:type="dxa"/>
          </w:tcPr>
          <w:p w14:paraId="1813C7CF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538,</w:t>
            </w:r>
            <w:r w:rsidR="00B72499" w:rsidRPr="00562F40">
              <w:rPr>
                <w:lang w:val="cs-CZ"/>
              </w:rPr>
              <w:t>8</w:t>
            </w:r>
          </w:p>
        </w:tc>
      </w:tr>
      <w:tr w:rsidR="00CB261F" w:rsidRPr="00562F40" w14:paraId="0D246BD0" w14:textId="77777777" w:rsidTr="004E1DC9">
        <w:tc>
          <w:tcPr>
            <w:tcW w:w="3020" w:type="dxa"/>
          </w:tcPr>
          <w:p w14:paraId="7154FAD2" w14:textId="4BFACCFB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Pře</w:t>
            </w:r>
            <w:r w:rsidR="0062415D" w:rsidRPr="00562F40">
              <w:rPr>
                <w:lang w:val="cs-CZ"/>
              </w:rPr>
              <w:t>vod</w:t>
            </w:r>
          </w:p>
        </w:tc>
        <w:tc>
          <w:tcPr>
            <w:tcW w:w="3020" w:type="dxa"/>
          </w:tcPr>
          <w:p w14:paraId="64273330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-40,7</w:t>
            </w:r>
          </w:p>
        </w:tc>
        <w:tc>
          <w:tcPr>
            <w:tcW w:w="3020" w:type="dxa"/>
          </w:tcPr>
          <w:p w14:paraId="4EE39DAA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-36,9</w:t>
            </w:r>
          </w:p>
        </w:tc>
      </w:tr>
      <w:tr w:rsidR="004E1DC9" w:rsidRPr="00562F40" w14:paraId="75703E83" w14:textId="77777777" w:rsidTr="004E1DC9">
        <w:tc>
          <w:tcPr>
            <w:tcW w:w="3020" w:type="dxa"/>
          </w:tcPr>
          <w:p w14:paraId="4948B100" w14:textId="77777777" w:rsidR="003F7623" w:rsidRPr="00562F40" w:rsidRDefault="003A24E5">
            <w:pPr>
              <w:rPr>
                <w:b/>
                <w:lang w:val="cs-CZ"/>
              </w:rPr>
            </w:pPr>
            <w:r w:rsidRPr="00562F40">
              <w:rPr>
                <w:b/>
                <w:lang w:val="cs-CZ"/>
              </w:rPr>
              <w:t>Celkem</w:t>
            </w:r>
          </w:p>
        </w:tc>
        <w:tc>
          <w:tcPr>
            <w:tcW w:w="3020" w:type="dxa"/>
          </w:tcPr>
          <w:p w14:paraId="04BB2DD0" w14:textId="77777777" w:rsidR="003F7623" w:rsidRPr="00562F40" w:rsidRDefault="003A24E5">
            <w:pPr>
              <w:rPr>
                <w:b/>
                <w:lang w:val="cs-CZ"/>
              </w:rPr>
            </w:pPr>
            <w:r w:rsidRPr="00562F40">
              <w:rPr>
                <w:b/>
                <w:lang w:val="cs-CZ"/>
              </w:rPr>
              <w:t>1.329,</w:t>
            </w:r>
            <w:r w:rsidR="00B72499" w:rsidRPr="00562F40">
              <w:rPr>
                <w:b/>
                <w:lang w:val="cs-CZ"/>
              </w:rPr>
              <w:t>3</w:t>
            </w:r>
          </w:p>
        </w:tc>
        <w:tc>
          <w:tcPr>
            <w:tcW w:w="3020" w:type="dxa"/>
          </w:tcPr>
          <w:p w14:paraId="1BD92BC1" w14:textId="77777777" w:rsidR="003F7623" w:rsidRPr="00562F40" w:rsidRDefault="003A24E5">
            <w:pPr>
              <w:rPr>
                <w:b/>
                <w:lang w:val="cs-CZ"/>
              </w:rPr>
            </w:pPr>
            <w:r w:rsidRPr="00562F40">
              <w:rPr>
                <w:b/>
                <w:lang w:val="cs-CZ"/>
              </w:rPr>
              <w:t>1.287,9</w:t>
            </w:r>
          </w:p>
        </w:tc>
      </w:tr>
      <w:tr w:rsidR="008B285F" w:rsidRPr="00562F40" w14:paraId="208DC29E" w14:textId="77777777" w:rsidTr="008B285F">
        <w:trPr>
          <w:trHeight w:val="65"/>
        </w:trPr>
        <w:tc>
          <w:tcPr>
            <w:tcW w:w="9060" w:type="dxa"/>
            <w:gridSpan w:val="3"/>
          </w:tcPr>
          <w:p w14:paraId="6E1B18A7" w14:textId="77777777" w:rsidR="008B285F" w:rsidRPr="00562F40" w:rsidRDefault="008B285F" w:rsidP="00B72499">
            <w:pPr>
              <w:rPr>
                <w:b/>
                <w:sz w:val="12"/>
                <w:lang w:val="cs-CZ"/>
              </w:rPr>
            </w:pPr>
          </w:p>
        </w:tc>
      </w:tr>
      <w:tr w:rsidR="004E1DC9" w:rsidRPr="00562F40" w14:paraId="582E9B5E" w14:textId="77777777" w:rsidTr="0005227F">
        <w:tc>
          <w:tcPr>
            <w:tcW w:w="9060" w:type="dxa"/>
            <w:gridSpan w:val="3"/>
          </w:tcPr>
          <w:p w14:paraId="796FFC4A" w14:textId="76DAA8FC" w:rsidR="003F7623" w:rsidRPr="00562F40" w:rsidRDefault="0062415D">
            <w:pPr>
              <w:rPr>
                <w:b/>
                <w:lang w:val="cs-CZ"/>
              </w:rPr>
            </w:pPr>
            <w:r w:rsidRPr="00562F40">
              <w:rPr>
                <w:b/>
                <w:sz w:val="22"/>
                <w:lang w:val="cs-CZ"/>
              </w:rPr>
              <w:t>Tržby</w:t>
            </w:r>
          </w:p>
        </w:tc>
      </w:tr>
      <w:tr w:rsidR="004E1DC9" w:rsidRPr="00562F40" w14:paraId="350EA6A7" w14:textId="77777777" w:rsidTr="004E1DC9">
        <w:tc>
          <w:tcPr>
            <w:tcW w:w="3020" w:type="dxa"/>
          </w:tcPr>
          <w:p w14:paraId="0F0B41FD" w14:textId="478B28DF" w:rsidR="003F7623" w:rsidRPr="00562F40" w:rsidRDefault="0062415D">
            <w:pPr>
              <w:rPr>
                <w:lang w:val="cs-CZ"/>
              </w:rPr>
            </w:pPr>
            <w:r w:rsidRPr="00562F40">
              <w:rPr>
                <w:lang w:val="cs-CZ"/>
              </w:rPr>
              <w:t>Sheetfed</w:t>
            </w:r>
          </w:p>
        </w:tc>
        <w:tc>
          <w:tcPr>
            <w:tcW w:w="3020" w:type="dxa"/>
          </w:tcPr>
          <w:p w14:paraId="3DEF3C69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672,2</w:t>
            </w:r>
          </w:p>
        </w:tc>
        <w:tc>
          <w:tcPr>
            <w:tcW w:w="3020" w:type="dxa"/>
          </w:tcPr>
          <w:p w14:paraId="1DED5626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779,8</w:t>
            </w:r>
          </w:p>
        </w:tc>
      </w:tr>
      <w:tr w:rsidR="004E1DC9" w:rsidRPr="00562F40" w14:paraId="4C3F7015" w14:textId="77777777" w:rsidTr="004E1DC9">
        <w:tc>
          <w:tcPr>
            <w:tcW w:w="3020" w:type="dxa"/>
          </w:tcPr>
          <w:p w14:paraId="0E1C2D03" w14:textId="6FDD7525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Digit</w:t>
            </w:r>
            <w:r w:rsidR="0062415D" w:rsidRPr="00562F40">
              <w:rPr>
                <w:lang w:val="cs-CZ"/>
              </w:rPr>
              <w:t>a</w:t>
            </w:r>
            <w:r w:rsidRPr="00562F40">
              <w:rPr>
                <w:lang w:val="cs-CZ"/>
              </w:rPr>
              <w:t xml:space="preserve">l &amp; </w:t>
            </w:r>
            <w:proofErr w:type="spellStart"/>
            <w:r w:rsidRPr="00562F40">
              <w:rPr>
                <w:lang w:val="cs-CZ"/>
              </w:rPr>
              <w:t>Webfed</w:t>
            </w:r>
            <w:proofErr w:type="spellEnd"/>
          </w:p>
        </w:tc>
        <w:tc>
          <w:tcPr>
            <w:tcW w:w="3020" w:type="dxa"/>
          </w:tcPr>
          <w:p w14:paraId="69F7857C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139,8</w:t>
            </w:r>
          </w:p>
        </w:tc>
        <w:tc>
          <w:tcPr>
            <w:tcW w:w="3020" w:type="dxa"/>
          </w:tcPr>
          <w:p w14:paraId="57C8C521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172,3</w:t>
            </w:r>
          </w:p>
        </w:tc>
      </w:tr>
      <w:tr w:rsidR="004E1DC9" w:rsidRPr="00562F40" w14:paraId="6A60999B" w14:textId="77777777" w:rsidTr="004E1DC9">
        <w:tc>
          <w:tcPr>
            <w:tcW w:w="3020" w:type="dxa"/>
          </w:tcPr>
          <w:p w14:paraId="38BBC174" w14:textId="1AAA03CB" w:rsidR="003F7623" w:rsidRPr="00562F40" w:rsidRDefault="003A24E5">
            <w:pPr>
              <w:rPr>
                <w:lang w:val="cs-CZ"/>
              </w:rPr>
            </w:pPr>
            <w:proofErr w:type="spellStart"/>
            <w:r w:rsidRPr="00562F40">
              <w:rPr>
                <w:lang w:val="cs-CZ"/>
              </w:rPr>
              <w:t>Speci</w:t>
            </w:r>
            <w:r w:rsidR="0062415D" w:rsidRPr="00562F40">
              <w:rPr>
                <w:lang w:val="cs-CZ"/>
              </w:rPr>
              <w:t>a</w:t>
            </w:r>
            <w:r w:rsidRPr="00562F40">
              <w:rPr>
                <w:lang w:val="cs-CZ"/>
              </w:rPr>
              <w:t>l</w:t>
            </w:r>
            <w:proofErr w:type="spellEnd"/>
          </w:p>
        </w:tc>
        <w:tc>
          <w:tcPr>
            <w:tcW w:w="3020" w:type="dxa"/>
          </w:tcPr>
          <w:p w14:paraId="15F9413B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417,1</w:t>
            </w:r>
          </w:p>
        </w:tc>
        <w:tc>
          <w:tcPr>
            <w:tcW w:w="3020" w:type="dxa"/>
          </w:tcPr>
          <w:p w14:paraId="16482FDB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413,7</w:t>
            </w:r>
          </w:p>
        </w:tc>
      </w:tr>
      <w:tr w:rsidR="00CB261F" w:rsidRPr="00562F40" w14:paraId="3F2DB7CB" w14:textId="77777777" w:rsidTr="004E1DC9">
        <w:tc>
          <w:tcPr>
            <w:tcW w:w="3020" w:type="dxa"/>
          </w:tcPr>
          <w:p w14:paraId="16F1C03A" w14:textId="732DA53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Pře</w:t>
            </w:r>
            <w:r w:rsidR="0062415D" w:rsidRPr="00562F40">
              <w:rPr>
                <w:lang w:val="cs-CZ"/>
              </w:rPr>
              <w:t>vod</w:t>
            </w:r>
          </w:p>
        </w:tc>
        <w:tc>
          <w:tcPr>
            <w:tcW w:w="3020" w:type="dxa"/>
          </w:tcPr>
          <w:p w14:paraId="536840A5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-43,4</w:t>
            </w:r>
          </w:p>
        </w:tc>
        <w:tc>
          <w:tcPr>
            <w:tcW w:w="3020" w:type="dxa"/>
          </w:tcPr>
          <w:p w14:paraId="6184D008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-39,0</w:t>
            </w:r>
          </w:p>
        </w:tc>
      </w:tr>
      <w:tr w:rsidR="004E1DC9" w:rsidRPr="00562F40" w14:paraId="46D1D3D7" w14:textId="77777777" w:rsidTr="004E1DC9">
        <w:tc>
          <w:tcPr>
            <w:tcW w:w="3020" w:type="dxa"/>
          </w:tcPr>
          <w:p w14:paraId="57F0CE5F" w14:textId="77777777" w:rsidR="003F7623" w:rsidRPr="00562F40" w:rsidRDefault="003A24E5">
            <w:pPr>
              <w:rPr>
                <w:b/>
                <w:lang w:val="cs-CZ"/>
              </w:rPr>
            </w:pPr>
            <w:r w:rsidRPr="00562F40">
              <w:rPr>
                <w:b/>
                <w:lang w:val="cs-CZ"/>
              </w:rPr>
              <w:t>Celkem</w:t>
            </w:r>
          </w:p>
        </w:tc>
        <w:tc>
          <w:tcPr>
            <w:tcW w:w="3020" w:type="dxa"/>
          </w:tcPr>
          <w:p w14:paraId="4C29F45E" w14:textId="77777777" w:rsidR="003F7623" w:rsidRPr="00562F40" w:rsidRDefault="003A24E5">
            <w:pPr>
              <w:rPr>
                <w:b/>
                <w:lang w:val="cs-CZ"/>
              </w:rPr>
            </w:pPr>
            <w:r w:rsidRPr="00562F40">
              <w:rPr>
                <w:b/>
                <w:lang w:val="cs-CZ"/>
              </w:rPr>
              <w:t>1.185,7</w:t>
            </w:r>
          </w:p>
        </w:tc>
        <w:tc>
          <w:tcPr>
            <w:tcW w:w="3020" w:type="dxa"/>
          </w:tcPr>
          <w:p w14:paraId="00909C89" w14:textId="77777777" w:rsidR="003F7623" w:rsidRPr="00562F40" w:rsidRDefault="003A24E5">
            <w:pPr>
              <w:rPr>
                <w:b/>
                <w:lang w:val="cs-CZ"/>
              </w:rPr>
            </w:pPr>
            <w:r w:rsidRPr="00562F40">
              <w:rPr>
                <w:b/>
                <w:lang w:val="cs-CZ"/>
              </w:rPr>
              <w:t>1.326,8</w:t>
            </w:r>
          </w:p>
        </w:tc>
      </w:tr>
      <w:tr w:rsidR="008B285F" w:rsidRPr="00562F40" w14:paraId="1A208A20" w14:textId="77777777" w:rsidTr="001B107F">
        <w:tc>
          <w:tcPr>
            <w:tcW w:w="9060" w:type="dxa"/>
            <w:gridSpan w:val="3"/>
          </w:tcPr>
          <w:p w14:paraId="7AB8AF0D" w14:textId="77777777" w:rsidR="008B285F" w:rsidRPr="00562F40" w:rsidRDefault="008B285F" w:rsidP="00B72499">
            <w:pPr>
              <w:rPr>
                <w:b/>
                <w:sz w:val="12"/>
                <w:lang w:val="cs-CZ"/>
              </w:rPr>
            </w:pPr>
          </w:p>
        </w:tc>
      </w:tr>
      <w:tr w:rsidR="004E1DC9" w:rsidRPr="00562F40" w14:paraId="087AB6B5" w14:textId="77777777" w:rsidTr="001B107F">
        <w:tc>
          <w:tcPr>
            <w:tcW w:w="9060" w:type="dxa"/>
            <w:gridSpan w:val="3"/>
          </w:tcPr>
          <w:p w14:paraId="6D5F9F9A" w14:textId="77777777" w:rsidR="003F7623" w:rsidRPr="00562F40" w:rsidRDefault="003A24E5">
            <w:pPr>
              <w:rPr>
                <w:b/>
                <w:lang w:val="cs-CZ"/>
              </w:rPr>
            </w:pPr>
            <w:r w:rsidRPr="00562F40">
              <w:rPr>
                <w:b/>
                <w:sz w:val="22"/>
                <w:lang w:val="cs-CZ"/>
              </w:rPr>
              <w:t>EBIT</w:t>
            </w:r>
          </w:p>
        </w:tc>
      </w:tr>
      <w:tr w:rsidR="004E1DC9" w:rsidRPr="00562F40" w14:paraId="517A986D" w14:textId="77777777" w:rsidTr="004E1DC9">
        <w:tc>
          <w:tcPr>
            <w:tcW w:w="3020" w:type="dxa"/>
          </w:tcPr>
          <w:p w14:paraId="66BFF69F" w14:textId="04E46A5C" w:rsidR="003F7623" w:rsidRPr="00562F40" w:rsidRDefault="0062415D">
            <w:pPr>
              <w:rPr>
                <w:lang w:val="cs-CZ"/>
              </w:rPr>
            </w:pPr>
            <w:r w:rsidRPr="00562F40">
              <w:rPr>
                <w:lang w:val="cs-CZ"/>
              </w:rPr>
              <w:t>Sheetfed</w:t>
            </w:r>
          </w:p>
        </w:tc>
        <w:tc>
          <w:tcPr>
            <w:tcW w:w="3020" w:type="dxa"/>
          </w:tcPr>
          <w:p w14:paraId="6D652CCB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19,0</w:t>
            </w:r>
          </w:p>
        </w:tc>
        <w:tc>
          <w:tcPr>
            <w:tcW w:w="3020" w:type="dxa"/>
          </w:tcPr>
          <w:p w14:paraId="5D744B53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29,8</w:t>
            </w:r>
          </w:p>
        </w:tc>
      </w:tr>
      <w:tr w:rsidR="004E1DC9" w:rsidRPr="00562F40" w14:paraId="36A9A614" w14:textId="77777777" w:rsidTr="004E1DC9">
        <w:tc>
          <w:tcPr>
            <w:tcW w:w="3020" w:type="dxa"/>
          </w:tcPr>
          <w:p w14:paraId="67366F4D" w14:textId="3C8330BD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Digit</w:t>
            </w:r>
            <w:r w:rsidR="0062415D" w:rsidRPr="00562F40">
              <w:rPr>
                <w:lang w:val="cs-CZ"/>
              </w:rPr>
              <w:t>al</w:t>
            </w:r>
            <w:r w:rsidRPr="00562F40">
              <w:rPr>
                <w:lang w:val="cs-CZ"/>
              </w:rPr>
              <w:t xml:space="preserve"> &amp; </w:t>
            </w:r>
            <w:proofErr w:type="spellStart"/>
            <w:r w:rsidRPr="00562F40">
              <w:rPr>
                <w:lang w:val="cs-CZ"/>
              </w:rPr>
              <w:t>Webfed</w:t>
            </w:r>
            <w:proofErr w:type="spellEnd"/>
          </w:p>
        </w:tc>
        <w:tc>
          <w:tcPr>
            <w:tcW w:w="3020" w:type="dxa"/>
          </w:tcPr>
          <w:p w14:paraId="2E58D7C8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-19,3</w:t>
            </w:r>
          </w:p>
        </w:tc>
        <w:tc>
          <w:tcPr>
            <w:tcW w:w="3020" w:type="dxa"/>
          </w:tcPr>
          <w:p w14:paraId="215AE255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-23,9</w:t>
            </w:r>
          </w:p>
        </w:tc>
      </w:tr>
      <w:tr w:rsidR="004E1DC9" w:rsidRPr="00562F40" w14:paraId="0CC02686" w14:textId="77777777" w:rsidTr="004E1DC9">
        <w:tc>
          <w:tcPr>
            <w:tcW w:w="3020" w:type="dxa"/>
          </w:tcPr>
          <w:p w14:paraId="255526E2" w14:textId="4D7DE187" w:rsidR="003F7623" w:rsidRPr="00562F40" w:rsidRDefault="003A24E5">
            <w:pPr>
              <w:rPr>
                <w:lang w:val="cs-CZ"/>
              </w:rPr>
            </w:pPr>
            <w:proofErr w:type="spellStart"/>
            <w:r w:rsidRPr="00562F40">
              <w:rPr>
                <w:lang w:val="cs-CZ"/>
              </w:rPr>
              <w:t>Speci</w:t>
            </w:r>
            <w:r w:rsidR="0062415D" w:rsidRPr="00562F40">
              <w:rPr>
                <w:lang w:val="cs-CZ"/>
              </w:rPr>
              <w:t>a</w:t>
            </w:r>
            <w:r w:rsidRPr="00562F40">
              <w:rPr>
                <w:lang w:val="cs-CZ"/>
              </w:rPr>
              <w:t>l</w:t>
            </w:r>
            <w:proofErr w:type="spellEnd"/>
          </w:p>
        </w:tc>
        <w:tc>
          <w:tcPr>
            <w:tcW w:w="3020" w:type="dxa"/>
          </w:tcPr>
          <w:p w14:paraId="4EC168DE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23,2</w:t>
            </w:r>
          </w:p>
        </w:tc>
        <w:tc>
          <w:tcPr>
            <w:tcW w:w="3020" w:type="dxa"/>
          </w:tcPr>
          <w:p w14:paraId="6CE0F266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23,0</w:t>
            </w:r>
          </w:p>
        </w:tc>
      </w:tr>
      <w:tr w:rsidR="004E1DC9" w:rsidRPr="00562F40" w14:paraId="339B010E" w14:textId="77777777" w:rsidTr="004E1DC9">
        <w:tc>
          <w:tcPr>
            <w:tcW w:w="3020" w:type="dxa"/>
          </w:tcPr>
          <w:p w14:paraId="429292B5" w14:textId="77F4D1FD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Pře</w:t>
            </w:r>
            <w:r w:rsidR="0062415D" w:rsidRPr="00562F40">
              <w:rPr>
                <w:lang w:val="cs-CZ"/>
              </w:rPr>
              <w:t>vod</w:t>
            </w:r>
          </w:p>
        </w:tc>
        <w:tc>
          <w:tcPr>
            <w:tcW w:w="3020" w:type="dxa"/>
          </w:tcPr>
          <w:p w14:paraId="0C131428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-0,9</w:t>
            </w:r>
          </w:p>
        </w:tc>
        <w:tc>
          <w:tcPr>
            <w:tcW w:w="3020" w:type="dxa"/>
          </w:tcPr>
          <w:p w14:paraId="52F8F34F" w14:textId="77777777" w:rsidR="003F7623" w:rsidRPr="00562F40" w:rsidRDefault="003A24E5">
            <w:pPr>
              <w:rPr>
                <w:lang w:val="cs-CZ"/>
              </w:rPr>
            </w:pPr>
            <w:r w:rsidRPr="00562F40">
              <w:rPr>
                <w:lang w:val="cs-CZ"/>
              </w:rPr>
              <w:t>1,0</w:t>
            </w:r>
          </w:p>
        </w:tc>
      </w:tr>
      <w:tr w:rsidR="004E1DC9" w:rsidRPr="00562F40" w14:paraId="0B7BC43A" w14:textId="77777777" w:rsidTr="004E1DC9">
        <w:tc>
          <w:tcPr>
            <w:tcW w:w="3020" w:type="dxa"/>
          </w:tcPr>
          <w:p w14:paraId="5C844A61" w14:textId="77777777" w:rsidR="003F7623" w:rsidRPr="00562F40" w:rsidRDefault="003A24E5">
            <w:pPr>
              <w:rPr>
                <w:b/>
                <w:lang w:val="cs-CZ"/>
              </w:rPr>
            </w:pPr>
            <w:r w:rsidRPr="00562F40">
              <w:rPr>
                <w:b/>
                <w:lang w:val="cs-CZ"/>
              </w:rPr>
              <w:t>Celkem</w:t>
            </w:r>
          </w:p>
        </w:tc>
        <w:tc>
          <w:tcPr>
            <w:tcW w:w="3020" w:type="dxa"/>
          </w:tcPr>
          <w:p w14:paraId="5A265257" w14:textId="77777777" w:rsidR="003F7623" w:rsidRPr="00562F40" w:rsidRDefault="003A24E5">
            <w:pPr>
              <w:rPr>
                <w:b/>
                <w:lang w:val="cs-CZ"/>
              </w:rPr>
            </w:pPr>
            <w:r w:rsidRPr="00562F40">
              <w:rPr>
                <w:b/>
                <w:lang w:val="cs-CZ"/>
              </w:rPr>
              <w:t>22,0</w:t>
            </w:r>
          </w:p>
        </w:tc>
        <w:tc>
          <w:tcPr>
            <w:tcW w:w="3020" w:type="dxa"/>
          </w:tcPr>
          <w:p w14:paraId="0B31AB0D" w14:textId="77777777" w:rsidR="003F7623" w:rsidRPr="00562F40" w:rsidRDefault="003A24E5">
            <w:pPr>
              <w:rPr>
                <w:b/>
                <w:lang w:val="cs-CZ"/>
              </w:rPr>
            </w:pPr>
            <w:r w:rsidRPr="00562F40">
              <w:rPr>
                <w:b/>
                <w:lang w:val="cs-CZ"/>
              </w:rPr>
              <w:t>29,9</w:t>
            </w:r>
          </w:p>
        </w:tc>
      </w:tr>
    </w:tbl>
    <w:p w14:paraId="2623A8E2" w14:textId="77777777" w:rsidR="00587062" w:rsidRPr="00562F40" w:rsidRDefault="00587062" w:rsidP="004E1DC9">
      <w:pPr>
        <w:rPr>
          <w:lang w:val="cs-CZ"/>
        </w:rPr>
      </w:pPr>
    </w:p>
    <w:p w14:paraId="4112A857" w14:textId="77777777" w:rsidR="00C011AF" w:rsidRPr="00562F40" w:rsidRDefault="00C011AF" w:rsidP="00C011AF">
      <w:pPr>
        <w:rPr>
          <w:lang w:val="cs-CZ"/>
        </w:rPr>
      </w:pPr>
      <w:bookmarkStart w:id="4" w:name="_heading=h.2et92p0" w:colFirst="0" w:colLast="0"/>
      <w:bookmarkEnd w:id="4"/>
    </w:p>
    <w:p w14:paraId="03D0DAF7" w14:textId="77777777" w:rsidR="00C011AF" w:rsidRPr="00562F40" w:rsidRDefault="00C011AF" w:rsidP="00C011AF">
      <w:pPr>
        <w:rPr>
          <w:lang w:val="cs-CZ"/>
        </w:rPr>
      </w:pPr>
    </w:p>
    <w:p w14:paraId="7E6CE289" w14:textId="77777777" w:rsidR="00C011AF" w:rsidRPr="00562F40" w:rsidRDefault="00C011AF" w:rsidP="00C011AF">
      <w:pPr>
        <w:rPr>
          <w:lang w:val="cs-CZ"/>
        </w:rPr>
      </w:pPr>
    </w:p>
    <w:p w14:paraId="323B9370" w14:textId="77777777" w:rsidR="00C011AF" w:rsidRPr="00562F40" w:rsidRDefault="00C011AF" w:rsidP="00C011AF">
      <w:pPr>
        <w:rPr>
          <w:lang w:val="cs-CZ"/>
        </w:rPr>
      </w:pPr>
    </w:p>
    <w:p w14:paraId="678C4862" w14:textId="77777777" w:rsidR="0062415D" w:rsidRPr="00562F40" w:rsidRDefault="0062415D" w:rsidP="00C011AF">
      <w:pPr>
        <w:rPr>
          <w:lang w:val="cs-CZ"/>
        </w:rPr>
      </w:pPr>
    </w:p>
    <w:p w14:paraId="250DFC31" w14:textId="77777777" w:rsidR="0062415D" w:rsidRPr="00562F40" w:rsidRDefault="0062415D" w:rsidP="00C011AF">
      <w:pPr>
        <w:rPr>
          <w:lang w:val="cs-CZ"/>
        </w:rPr>
      </w:pPr>
    </w:p>
    <w:p w14:paraId="5EE4F877" w14:textId="77777777" w:rsidR="0062415D" w:rsidRPr="00562F40" w:rsidRDefault="0062415D" w:rsidP="00C011AF">
      <w:pPr>
        <w:rPr>
          <w:lang w:val="cs-CZ"/>
        </w:rPr>
      </w:pPr>
    </w:p>
    <w:p w14:paraId="1AC84FCA" w14:textId="77777777" w:rsidR="0062415D" w:rsidRPr="00562F40" w:rsidRDefault="0062415D" w:rsidP="00C011AF">
      <w:pPr>
        <w:rPr>
          <w:lang w:val="cs-CZ"/>
        </w:rPr>
      </w:pPr>
    </w:p>
    <w:p w14:paraId="3489503A" w14:textId="77777777" w:rsidR="0062415D" w:rsidRPr="00562F40" w:rsidRDefault="0062415D" w:rsidP="00C011AF">
      <w:pPr>
        <w:rPr>
          <w:lang w:val="cs-CZ"/>
        </w:rPr>
      </w:pPr>
    </w:p>
    <w:p w14:paraId="707EFAEE" w14:textId="77777777" w:rsidR="0062415D" w:rsidRPr="00562F40" w:rsidRDefault="0062415D" w:rsidP="00C011AF">
      <w:pPr>
        <w:rPr>
          <w:lang w:val="cs-CZ"/>
        </w:rPr>
      </w:pPr>
    </w:p>
    <w:p w14:paraId="4D9C3432" w14:textId="77777777" w:rsidR="0062415D" w:rsidRPr="00562F40" w:rsidRDefault="0062415D" w:rsidP="00C011AF">
      <w:pPr>
        <w:rPr>
          <w:lang w:val="cs-CZ"/>
        </w:rPr>
      </w:pPr>
    </w:p>
    <w:p w14:paraId="3293F84B" w14:textId="77777777" w:rsidR="00C011AF" w:rsidRPr="00562F40" w:rsidRDefault="00C011AF" w:rsidP="00C011AF">
      <w:pPr>
        <w:rPr>
          <w:lang w:val="cs-CZ"/>
        </w:rPr>
      </w:pPr>
    </w:p>
    <w:p w14:paraId="68C7739B" w14:textId="77777777" w:rsidR="007C7F05" w:rsidRPr="00562F40" w:rsidRDefault="007C7F05" w:rsidP="007C7F05">
      <w:pPr>
        <w:pStyle w:val="Nadpis4"/>
        <w:rPr>
          <w:lang w:val="cs-CZ"/>
        </w:rPr>
      </w:pPr>
      <w:r w:rsidRPr="00562F40">
        <w:rPr>
          <w:lang w:val="cs-CZ"/>
        </w:rPr>
        <w:lastRenderedPageBreak/>
        <w:t>Kontaktní osoba pro investor relations</w:t>
      </w:r>
    </w:p>
    <w:p w14:paraId="46AAF479" w14:textId="77777777" w:rsidR="007C7F05" w:rsidRPr="00562F40" w:rsidRDefault="007C7F05" w:rsidP="007C7F05">
      <w:pPr>
        <w:rPr>
          <w:lang w:val="cs-CZ"/>
        </w:rPr>
      </w:pPr>
      <w:r w:rsidRPr="00562F40">
        <w:rPr>
          <w:lang w:val="cs-CZ"/>
        </w:rPr>
        <w:t xml:space="preserve">Koenig &amp; Bauer AG </w:t>
      </w:r>
      <w:r w:rsidRPr="00562F40">
        <w:rPr>
          <w:lang w:val="cs-CZ"/>
        </w:rPr>
        <w:br/>
        <w:t xml:space="preserve">Lena </w:t>
      </w:r>
      <w:proofErr w:type="spellStart"/>
      <w:r w:rsidRPr="00562F40">
        <w:rPr>
          <w:lang w:val="cs-CZ"/>
        </w:rPr>
        <w:t>Landenberger</w:t>
      </w:r>
      <w:proofErr w:type="spellEnd"/>
      <w:r w:rsidRPr="00562F40">
        <w:rPr>
          <w:lang w:val="cs-CZ"/>
        </w:rPr>
        <w:t xml:space="preserve"> </w:t>
      </w:r>
      <w:r w:rsidRPr="00562F40">
        <w:rPr>
          <w:lang w:val="cs-CZ"/>
        </w:rPr>
        <w:br/>
        <w:t>T +49 931 909-4085</w:t>
      </w:r>
      <w:r w:rsidRPr="00562F40">
        <w:rPr>
          <w:lang w:val="cs-CZ"/>
        </w:rPr>
        <w:br/>
      </w:r>
      <w:hyperlink r:id="rId8">
        <w:r w:rsidRPr="00562F40">
          <w:rPr>
            <w:color w:val="1155CC"/>
            <w:u w:val="single"/>
            <w:lang w:val="cs-CZ"/>
          </w:rPr>
          <w:t>lena.landenberger@koenig-bauer.com</w:t>
        </w:r>
      </w:hyperlink>
    </w:p>
    <w:p w14:paraId="2771A6C4" w14:textId="1CE34E8E" w:rsidR="007C7F05" w:rsidRPr="00562F40" w:rsidRDefault="007C7F05" w:rsidP="007C7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rPr>
          <w:rFonts w:eastAsia="Times New Roman" w:cs="Times New Roman"/>
          <w:lang w:val="cs-CZ"/>
        </w:rPr>
      </w:pPr>
      <w:r w:rsidRPr="00562F40">
        <w:rPr>
          <w:b/>
          <w:lang w:val="cs-CZ"/>
        </w:rPr>
        <w:t>O společnosti Koenig &amp; Bauer</w:t>
      </w:r>
      <w:r w:rsidRPr="00562F40">
        <w:rPr>
          <w:lang w:val="cs-CZ"/>
        </w:rPr>
        <w:br/>
      </w:r>
      <w:r w:rsidRPr="00562F40">
        <w:rPr>
          <w:highlight w:val="white"/>
          <w:lang w:val="cs-CZ"/>
        </w:rPr>
        <w:t xml:space="preserve">Společnost Koenig &amp; Bauer se sídlem ve </w:t>
      </w:r>
      <w:proofErr w:type="spellStart"/>
      <w:r w:rsidRPr="00562F40">
        <w:rPr>
          <w:highlight w:val="white"/>
          <w:lang w:val="cs-CZ"/>
        </w:rPr>
        <w:t>Würzburgu</w:t>
      </w:r>
      <w:proofErr w:type="spellEnd"/>
      <w:r w:rsidRPr="00562F40">
        <w:rPr>
          <w:highlight w:val="white"/>
          <w:lang w:val="cs-CZ"/>
        </w:rPr>
        <w:t xml:space="preserve"> (Německo) je světovým výrobcem tiskových strojů. Společnost vyrábí tiskové stroje a nabízí softwarová řešení pro celý proces tisku a další zpracování se zaměřením na technologii obalů. Tiskové stroje Koenig &amp; Bauer zvládnou potisknout prakticky téměř všechny materiály - portfolio sahá od bankovek, přes obaly z kartonu, vlnité lepenky, fólie, plechu a skla až po tisk knih, displejů, etiket, dekorů, časopisů, reklamních tiskovin a novin.</w:t>
      </w:r>
      <w:r w:rsidRPr="00562F40">
        <w:rPr>
          <w:lang w:val="cs-CZ"/>
        </w:rPr>
        <w:t xml:space="preserve"> S</w:t>
      </w:r>
      <w:r w:rsidRPr="00562F40">
        <w:rPr>
          <w:rFonts w:eastAsia="Times New Roman" w:cs="Times New Roman"/>
          <w:lang w:val="cs-CZ"/>
        </w:rPr>
        <w:t xml:space="preserve"> více než 200letou historií je </w:t>
      </w:r>
      <w:r w:rsidRPr="00562F40">
        <w:rPr>
          <w:highlight w:val="white"/>
          <w:lang w:val="cs-CZ"/>
        </w:rPr>
        <w:t>Koenig &amp; Bauer</w:t>
      </w:r>
      <w:r w:rsidRPr="00562F40">
        <w:rPr>
          <w:rFonts w:eastAsia="Times New Roman" w:cs="Times New Roman"/>
          <w:lang w:val="cs-CZ"/>
        </w:rPr>
        <w:t xml:space="preserve"> nejstarším výrobcem tiskových strojů na světě a ovládá dnes téměř všechny tiskové postupy. V celém koncernu pracuje 5.500 zaměstnanců, přičemž společnost vyrábí v jedenácti závodech v Evropě a spravuje světovou prodejní a servisní síť. Roční obrat v hospodářském roce 2023 dosáhl 1,3 mld. EUR.</w:t>
      </w:r>
    </w:p>
    <w:p w14:paraId="4E177AC1" w14:textId="77777777" w:rsidR="007C7F05" w:rsidRPr="00562F40" w:rsidRDefault="007C7F05" w:rsidP="007C7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rPr>
          <w:highlight w:val="white"/>
          <w:lang w:val="cs-CZ"/>
        </w:rPr>
      </w:pPr>
    </w:p>
    <w:p w14:paraId="75CD17E0" w14:textId="77777777" w:rsidR="007C7F05" w:rsidRPr="00562F40" w:rsidRDefault="007C7F05" w:rsidP="007C7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rPr>
          <w:lang w:val="cs-CZ"/>
        </w:rPr>
      </w:pPr>
      <w:r w:rsidRPr="00562F40">
        <w:rPr>
          <w:highlight w:val="white"/>
          <w:lang w:val="cs-CZ"/>
        </w:rPr>
        <w:t xml:space="preserve">Další informace na </w:t>
      </w:r>
      <w:hyperlink r:id="rId9">
        <w:r w:rsidRPr="00562F40">
          <w:rPr>
            <w:color w:val="1155CC"/>
            <w:highlight w:val="white"/>
            <w:u w:val="single"/>
            <w:lang w:val="cs-CZ"/>
          </w:rPr>
          <w:t>www.koenig-bauer.com</w:t>
        </w:r>
      </w:hyperlink>
    </w:p>
    <w:p w14:paraId="668215F8" w14:textId="77777777" w:rsidR="00587062" w:rsidRPr="00562F40" w:rsidRDefault="00587062" w:rsidP="004E1D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rPr>
          <w:lang w:val="cs-CZ"/>
        </w:rPr>
      </w:pPr>
    </w:p>
    <w:sectPr w:rsidR="00587062" w:rsidRPr="00562F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358B6" w14:textId="77777777" w:rsidR="003A24E5" w:rsidRDefault="003A24E5">
      <w:pPr>
        <w:spacing w:after="0" w:line="240" w:lineRule="auto"/>
      </w:pPr>
      <w:r>
        <w:separator/>
      </w:r>
    </w:p>
  </w:endnote>
  <w:endnote w:type="continuationSeparator" w:id="0">
    <w:p w14:paraId="5813DC8C" w14:textId="77777777" w:rsidR="003A24E5" w:rsidRDefault="003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enig&amp;Bauer T Light"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E443E" w14:textId="77777777" w:rsidR="00587062" w:rsidRDefault="005870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EF72F" w14:textId="77777777" w:rsidR="00587062" w:rsidRDefault="0058706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2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587062" w14:paraId="5AE3B84C" w14:textId="77777777">
      <w:tc>
        <w:tcPr>
          <w:tcW w:w="4530" w:type="dxa"/>
        </w:tcPr>
        <w:p w14:paraId="580DB3FE" w14:textId="77777777" w:rsidR="00587062" w:rsidRDefault="005870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14:paraId="20BF0306" w14:textId="4FE7A03F" w:rsidR="003F7623" w:rsidRDefault="003A24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Předběžn</w:t>
          </w:r>
          <w:r w:rsidR="007C7F05">
            <w:rPr>
              <w:sz w:val="14"/>
              <w:szCs w:val="14"/>
            </w:rPr>
            <w:t>é</w:t>
          </w:r>
          <w:proofErr w:type="spellEnd"/>
          <w:r>
            <w:rPr>
              <w:sz w:val="14"/>
              <w:szCs w:val="14"/>
            </w:rPr>
            <w:t xml:space="preserve"> </w:t>
          </w:r>
          <w:proofErr w:type="spellStart"/>
          <w:r w:rsidR="007C7F05">
            <w:rPr>
              <w:sz w:val="14"/>
              <w:szCs w:val="14"/>
            </w:rPr>
            <w:t>hospodářské</w:t>
          </w:r>
          <w:proofErr w:type="spellEnd"/>
          <w:r w:rsidR="007C7F05">
            <w:rPr>
              <w:sz w:val="14"/>
              <w:szCs w:val="14"/>
            </w:rPr>
            <w:t xml:space="preserve"> </w:t>
          </w:r>
          <w:proofErr w:type="spellStart"/>
          <w:r w:rsidR="007C7F05">
            <w:rPr>
              <w:sz w:val="14"/>
              <w:szCs w:val="14"/>
            </w:rPr>
            <w:t>výsledky</w:t>
          </w:r>
          <w:proofErr w:type="spellEnd"/>
          <w:r w:rsidR="006125D9">
            <w:rPr>
              <w:sz w:val="14"/>
              <w:szCs w:val="14"/>
            </w:rPr>
            <w:t xml:space="preserve"> 2023 </w:t>
          </w:r>
          <w:r w:rsidR="006125D9">
            <w:rPr>
              <w:color w:val="000000"/>
              <w:sz w:val="14"/>
              <w:szCs w:val="14"/>
            </w:rPr>
            <w:t xml:space="preserve">| </w:t>
          </w:r>
          <w:r w:rsidR="006125D9">
            <w:rPr>
              <w:color w:val="000000"/>
              <w:sz w:val="14"/>
              <w:szCs w:val="14"/>
            </w:rPr>
            <w:fldChar w:fldCharType="begin"/>
          </w:r>
          <w:r w:rsidR="006125D9">
            <w:rPr>
              <w:color w:val="000000"/>
              <w:sz w:val="14"/>
              <w:szCs w:val="14"/>
            </w:rPr>
            <w:instrText>PAGE</w:instrText>
          </w:r>
          <w:r w:rsidR="006125D9">
            <w:rPr>
              <w:color w:val="000000"/>
              <w:sz w:val="14"/>
              <w:szCs w:val="14"/>
            </w:rPr>
            <w:fldChar w:fldCharType="separate"/>
          </w:r>
          <w:r w:rsidR="0068598F">
            <w:rPr>
              <w:noProof/>
              <w:color w:val="000000"/>
              <w:sz w:val="14"/>
              <w:szCs w:val="14"/>
            </w:rPr>
            <w:t>6</w:t>
          </w:r>
          <w:r w:rsidR="006125D9">
            <w:rPr>
              <w:color w:val="000000"/>
              <w:sz w:val="14"/>
              <w:szCs w:val="14"/>
            </w:rPr>
            <w:fldChar w:fldCharType="end"/>
          </w:r>
        </w:p>
      </w:tc>
    </w:tr>
  </w:tbl>
  <w:p w14:paraId="6D222182" w14:textId="77777777" w:rsidR="00587062" w:rsidRDefault="005870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F2E2" w14:textId="77777777" w:rsidR="00587062" w:rsidRDefault="0058706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1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587062" w14:paraId="020F8F5C" w14:textId="77777777">
      <w:trPr>
        <w:trHeight w:val="620"/>
      </w:trPr>
      <w:tc>
        <w:tcPr>
          <w:tcW w:w="2552" w:type="dxa"/>
        </w:tcPr>
        <w:p w14:paraId="4070A89C" w14:textId="77777777" w:rsidR="00587062" w:rsidRDefault="0058706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color w:val="000000"/>
            </w:rPr>
          </w:pPr>
        </w:p>
      </w:tc>
      <w:tc>
        <w:tcPr>
          <w:tcW w:w="4536" w:type="dxa"/>
        </w:tcPr>
        <w:p w14:paraId="3D0140B7" w14:textId="77777777" w:rsidR="00587062" w:rsidRDefault="0058706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color w:val="000000"/>
            </w:rPr>
          </w:pPr>
        </w:p>
      </w:tc>
      <w:tc>
        <w:tcPr>
          <w:tcW w:w="2693" w:type="dxa"/>
        </w:tcPr>
        <w:p w14:paraId="741C705D" w14:textId="77777777" w:rsidR="00587062" w:rsidRDefault="0058706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color w:val="000000"/>
            </w:rPr>
          </w:pPr>
        </w:p>
      </w:tc>
    </w:tr>
  </w:tbl>
  <w:p w14:paraId="29FB5B5E" w14:textId="77777777" w:rsidR="00587062" w:rsidRDefault="005870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21CA" w14:textId="77777777" w:rsidR="003A24E5" w:rsidRDefault="003A24E5">
      <w:pPr>
        <w:spacing w:after="0" w:line="240" w:lineRule="auto"/>
      </w:pPr>
      <w:r>
        <w:separator/>
      </w:r>
    </w:p>
  </w:footnote>
  <w:footnote w:type="continuationSeparator" w:id="0">
    <w:p w14:paraId="03160083" w14:textId="77777777" w:rsidR="003A24E5" w:rsidRDefault="003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F407" w14:textId="77777777" w:rsidR="00587062" w:rsidRDefault="005870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26968" w14:textId="77777777" w:rsidR="00587062" w:rsidRDefault="006125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 wp14:anchorId="15D8BBD6" wp14:editId="36AAACCD">
          <wp:extent cx="2523600" cy="216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2E3A3" w14:textId="77777777" w:rsidR="00587062" w:rsidRDefault="006125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 wp14:anchorId="4CB406D2" wp14:editId="317671AB">
          <wp:extent cx="2524721" cy="2160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5344"/>
    <w:multiLevelType w:val="multilevel"/>
    <w:tmpl w:val="1D1C350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62"/>
    <w:rsid w:val="00023C15"/>
    <w:rsid w:val="000D6EAC"/>
    <w:rsid w:val="00107A14"/>
    <w:rsid w:val="00202E04"/>
    <w:rsid w:val="00213EBF"/>
    <w:rsid w:val="00227837"/>
    <w:rsid w:val="00304A1E"/>
    <w:rsid w:val="00333165"/>
    <w:rsid w:val="00351EB3"/>
    <w:rsid w:val="00377388"/>
    <w:rsid w:val="003A0CED"/>
    <w:rsid w:val="003A24E5"/>
    <w:rsid w:val="003D790A"/>
    <w:rsid w:val="003F7623"/>
    <w:rsid w:val="00492038"/>
    <w:rsid w:val="004E1DC9"/>
    <w:rsid w:val="004F0E50"/>
    <w:rsid w:val="005455D6"/>
    <w:rsid w:val="00562F40"/>
    <w:rsid w:val="00587062"/>
    <w:rsid w:val="005F2B92"/>
    <w:rsid w:val="006125D9"/>
    <w:rsid w:val="0062415D"/>
    <w:rsid w:val="0068598F"/>
    <w:rsid w:val="006C24CB"/>
    <w:rsid w:val="006D1769"/>
    <w:rsid w:val="007051A6"/>
    <w:rsid w:val="00746138"/>
    <w:rsid w:val="00776F19"/>
    <w:rsid w:val="00793ACC"/>
    <w:rsid w:val="007A4C6E"/>
    <w:rsid w:val="007C7F05"/>
    <w:rsid w:val="007E35C6"/>
    <w:rsid w:val="00851D57"/>
    <w:rsid w:val="008B285F"/>
    <w:rsid w:val="008B6A49"/>
    <w:rsid w:val="00946699"/>
    <w:rsid w:val="009754EC"/>
    <w:rsid w:val="009F10E8"/>
    <w:rsid w:val="00A216EC"/>
    <w:rsid w:val="00A23F74"/>
    <w:rsid w:val="00A46B09"/>
    <w:rsid w:val="00AB7490"/>
    <w:rsid w:val="00AE0F2E"/>
    <w:rsid w:val="00B72499"/>
    <w:rsid w:val="00BB4DEF"/>
    <w:rsid w:val="00C011AF"/>
    <w:rsid w:val="00C671A2"/>
    <w:rsid w:val="00C67332"/>
    <w:rsid w:val="00CB261F"/>
    <w:rsid w:val="00D63F6E"/>
    <w:rsid w:val="00D757FE"/>
    <w:rsid w:val="00DB01B7"/>
    <w:rsid w:val="00D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AEE3"/>
  <w15:docId w15:val="{45812038-8D80-4196-979D-8936ED7F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uiPriority w:val="9"/>
    <w:qFormat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uiPriority w:val="9"/>
    <w:qFormat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Odstavecseseznamem">
    <w:name w:val="List Paragraph"/>
    <w:basedOn w:val="Normln"/>
    <w:uiPriority w:val="34"/>
    <w:qFormat/>
    <w:rsid w:val="00E96DC8"/>
    <w:pPr>
      <w:ind w:left="720"/>
      <w:contextualSpacing/>
    </w:pPr>
  </w:style>
  <w:style w:type="paragraph" w:customStyle="1" w:styleId="anhangflietext">
    <w:name w:val="anhang fließtext"/>
    <w:basedOn w:val="Normln"/>
    <w:uiPriority w:val="99"/>
    <w:rsid w:val="00902DAD"/>
    <w:pPr>
      <w:autoSpaceDE w:val="0"/>
      <w:autoSpaceDN w:val="0"/>
      <w:adjustRightInd w:val="0"/>
      <w:spacing w:after="0" w:line="280" w:lineRule="atLeast"/>
      <w:textAlignment w:val="center"/>
    </w:pPr>
    <w:rPr>
      <w:rFonts w:ascii="Koenig&amp;Bauer T Light" w:eastAsiaTheme="minorEastAsia" w:hAnsi="Koenig&amp;Bauer T Light" w:cs="Koenig&amp;Bauer T Light"/>
      <w:color w:val="000000"/>
      <w:sz w:val="17"/>
      <w:szCs w:val="17"/>
      <w:lang w:eastAsia="zh-CN"/>
    </w:rPr>
  </w:style>
  <w:style w:type="character" w:customStyle="1" w:styleId="FlietextLagebericht">
    <w:name w:val="Fließtext (Lagebericht)"/>
    <w:uiPriority w:val="99"/>
    <w:rsid w:val="00902DAD"/>
    <w:rPr>
      <w:rFonts w:ascii="Koenig&amp;Bauer T Light" w:hAnsi="Koenig&amp;Bauer T Light" w:cs="Koenig&amp;Bauer T Light"/>
      <w:color w:val="000000"/>
      <w:spacing w:val="0"/>
      <w:sz w:val="17"/>
      <w:szCs w:val="17"/>
      <w:vertAlign w:val="baseline"/>
      <w:lang w:val="de-DE"/>
    </w:rPr>
  </w:style>
  <w:style w:type="character" w:styleId="Hypertextovodkaz">
    <w:name w:val="Hyperlink"/>
    <w:basedOn w:val="Standardnpsmoodstavce"/>
    <w:uiPriority w:val="99"/>
    <w:unhideWhenUsed/>
    <w:rsid w:val="007B10D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8A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C236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7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C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C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7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7CA7"/>
    <w:rPr>
      <w:b/>
      <w:bCs/>
    </w:rPr>
  </w:style>
  <w:style w:type="character" w:styleId="Siln">
    <w:name w:val="Strong"/>
    <w:basedOn w:val="Standardnpsmoodstavce"/>
    <w:uiPriority w:val="22"/>
    <w:qFormat/>
    <w:rsid w:val="00242268"/>
    <w:rPr>
      <w:b/>
      <w:bCs/>
    </w:rPr>
  </w:style>
  <w:style w:type="paragraph" w:customStyle="1" w:styleId="Default">
    <w:name w:val="Default"/>
    <w:rsid w:val="0024226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NichtaufgelsteErwhnung1">
    <w:name w:val="Nicht aufgelöste Erwähnung1"/>
    <w:basedOn w:val="Standardnpsmoodstavce"/>
    <w:uiPriority w:val="99"/>
    <w:semiHidden/>
    <w:unhideWhenUsed/>
    <w:rsid w:val="00BC64F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77FDC"/>
    <w:rPr>
      <w:color w:val="800080" w:themeColor="followedHyperlink"/>
      <w:u w:val="single"/>
    </w:rPr>
  </w:style>
  <w:style w:type="character" w:customStyle="1" w:styleId="ui-provider">
    <w:name w:val="ui-provider"/>
    <w:basedOn w:val="Standardnpsmoodstavce"/>
    <w:rsid w:val="00D17ACD"/>
  </w:style>
  <w:style w:type="paragraph" w:styleId="Zhlav">
    <w:name w:val="header"/>
    <w:basedOn w:val="Normln"/>
    <w:link w:val="ZhlavChar"/>
    <w:uiPriority w:val="99"/>
    <w:semiHidden/>
    <w:unhideWhenUsed/>
    <w:rsid w:val="00B0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0FA5"/>
  </w:style>
  <w:style w:type="paragraph" w:styleId="Zpat">
    <w:name w:val="footer"/>
    <w:basedOn w:val="Normln"/>
    <w:link w:val="ZpatChar"/>
    <w:uiPriority w:val="99"/>
    <w:semiHidden/>
    <w:unhideWhenUsed/>
    <w:rsid w:val="00B0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0FA5"/>
  </w:style>
  <w:style w:type="table" w:customStyle="1" w:styleId="a1">
    <w:basedOn w:val="TableNormal0"/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7" w:type="dxa"/>
        <w:bottom w:w="28" w:type="dxa"/>
      </w:tblCellMar>
    </w:tblPr>
  </w:style>
  <w:style w:type="table" w:styleId="Mkatabulky">
    <w:name w:val="Table Grid"/>
    <w:basedOn w:val="Normlntabulka"/>
    <w:uiPriority w:val="39"/>
    <w:rsid w:val="004E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4E1D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4E1D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landenberg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jS8d6P978LARgqUviVW+Xlr23w==">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1724</Words>
  <Characters>10173</Characters>
  <Application>Microsoft Office Word</Application>
  <DocSecurity>0</DocSecurity>
  <Lines>84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>        Segmenty: Velký počet přijatých objednávek divize Banknote Solutions v segmentu </vt:lpstr>
      <vt:lpstr>        Dr. Stephen Kimmich přebírá také segment Special</vt:lpstr>
      <vt:lpstr>        Výhled na rok 2024: provozní EBIT marže a vývoj tržeb na stabilní úrovni předcho</vt:lpstr>
      <vt:lpstr/>
    </vt:vector>
  </TitlesOfParts>
  <Company>KOENIG &amp; BAUER AG</Company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Landenberger, Lena (ZFI)</dc:creator>
  <cp:keywords>, docId:7D9E8A309B4182DCF310177DC7E496E4</cp:keywords>
  <cp:lastModifiedBy>Stanislav Vaníček</cp:lastModifiedBy>
  <cp:revision>12</cp:revision>
  <cp:lastPrinted>2024-03-10T17:59:00Z</cp:lastPrinted>
  <dcterms:created xsi:type="dcterms:W3CDTF">2024-03-10T13:59:00Z</dcterms:created>
  <dcterms:modified xsi:type="dcterms:W3CDTF">2024-03-11T13:46:00Z</dcterms:modified>
</cp:coreProperties>
</file>