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75" w:rsidRPr="00AC2878" w:rsidRDefault="0001057E">
      <w:pPr>
        <w:pStyle w:val="Nzev"/>
        <w:rPr>
          <w:lang w:val="cs-CZ"/>
        </w:rPr>
      </w:pPr>
      <w:r w:rsidRPr="00AC2878">
        <w:rPr>
          <w:lang w:val="cs-CZ"/>
        </w:rPr>
        <w:t>Tisková zpráva</w:t>
      </w:r>
    </w:p>
    <w:p w:rsidR="00526875" w:rsidRPr="00AC2878" w:rsidRDefault="0070401D">
      <w:pPr>
        <w:pStyle w:val="Nadpis1"/>
        <w:tabs>
          <w:tab w:val="left" w:pos="850"/>
        </w:tabs>
        <w:rPr>
          <w:lang w:val="cs-CZ"/>
        </w:rPr>
      </w:pPr>
      <w:bookmarkStart w:id="0" w:name="_heading=h.30j0zll" w:colFirst="0" w:colLast="0"/>
      <w:bookmarkEnd w:id="0"/>
      <w:r w:rsidRPr="00AC2878">
        <w:rPr>
          <w:lang w:val="cs-CZ"/>
        </w:rPr>
        <w:t xml:space="preserve">Koenig &amp; Bauer </w:t>
      </w:r>
      <w:r w:rsidR="0001057E" w:rsidRPr="00AC2878">
        <w:rPr>
          <w:lang w:val="cs-CZ"/>
        </w:rPr>
        <w:t>na veletrhu</w:t>
      </w:r>
      <w:r w:rsidRPr="00AC2878">
        <w:rPr>
          <w:lang w:val="cs-CZ"/>
        </w:rPr>
        <w:t xml:space="preserve"> K2022</w:t>
      </w:r>
    </w:p>
    <w:p w:rsidR="00526875" w:rsidRPr="00AC2878" w:rsidRDefault="0001057E">
      <w:pPr>
        <w:pStyle w:val="Podtitul"/>
        <w:rPr>
          <w:lang w:val="cs-CZ"/>
        </w:rPr>
      </w:pPr>
      <w:r w:rsidRPr="00AC2878">
        <w:rPr>
          <w:lang w:val="cs-CZ"/>
        </w:rPr>
        <w:t>Nové technologie tisku na skleněné, plastové, kovové a flexibilní obaly</w:t>
      </w:r>
    </w:p>
    <w:p w:rsidR="0001057E" w:rsidRPr="00AC2878" w:rsidRDefault="0001057E" w:rsidP="0001057E">
      <w:pPr>
        <w:pStyle w:val="Odstavecseseznamem"/>
        <w:numPr>
          <w:ilvl w:val="0"/>
          <w:numId w:val="2"/>
        </w:numPr>
        <w:rPr>
          <w:sz w:val="22"/>
          <w:lang w:val="cs-CZ"/>
        </w:rPr>
      </w:pPr>
      <w:bookmarkStart w:id="1" w:name="_heading=h.1fob9te" w:colFirst="0" w:colLast="0"/>
      <w:bookmarkEnd w:id="1"/>
      <w:r w:rsidRPr="00AC2878">
        <w:rPr>
          <w:sz w:val="22"/>
          <w:lang w:val="cs-CZ"/>
        </w:rPr>
        <w:t>Představení mobilní stanice pro horkou ražbu K29 S</w:t>
      </w:r>
    </w:p>
    <w:p w:rsidR="0001057E" w:rsidRPr="00AC2878" w:rsidRDefault="0001057E" w:rsidP="0001057E">
      <w:pPr>
        <w:pStyle w:val="Odstavecseseznamem"/>
        <w:numPr>
          <w:ilvl w:val="0"/>
          <w:numId w:val="2"/>
        </w:numPr>
        <w:rPr>
          <w:sz w:val="22"/>
          <w:lang w:val="cs-CZ"/>
        </w:rPr>
      </w:pPr>
      <w:r w:rsidRPr="00AC2878">
        <w:rPr>
          <w:sz w:val="22"/>
          <w:lang w:val="cs-CZ"/>
        </w:rPr>
        <w:t>Veletržní premiéra vysokorychlostní inkjetové jednotky pro potisk skla, plastů a kovu</w:t>
      </w:r>
    </w:p>
    <w:p w:rsidR="0001057E" w:rsidRPr="00AC2878" w:rsidRDefault="0001057E" w:rsidP="0001057E">
      <w:pPr>
        <w:pStyle w:val="Odstavecseseznamem"/>
        <w:numPr>
          <w:ilvl w:val="0"/>
          <w:numId w:val="2"/>
        </w:numPr>
        <w:rPr>
          <w:sz w:val="22"/>
          <w:lang w:val="cs-CZ"/>
        </w:rPr>
      </w:pPr>
      <w:r w:rsidRPr="00AC2878">
        <w:rPr>
          <w:sz w:val="22"/>
          <w:lang w:val="cs-CZ"/>
        </w:rPr>
        <w:t>Inteligentní řešení pro optimalizaci spotřeby zdrojů při flexografickém tisku</w:t>
      </w:r>
    </w:p>
    <w:p w:rsidR="00526875" w:rsidRPr="00AC2878" w:rsidRDefault="0001057E">
      <w:pPr>
        <w:rPr>
          <w:sz w:val="22"/>
          <w:szCs w:val="40"/>
          <w:lang w:val="cs-CZ"/>
        </w:rPr>
      </w:pPr>
      <w:r w:rsidRPr="00AC2878">
        <w:rPr>
          <w:sz w:val="22"/>
          <w:szCs w:val="40"/>
          <w:lang w:val="cs-CZ"/>
        </w:rPr>
        <w:t xml:space="preserve">Na K2022 v Düsseldorfu </w:t>
      </w:r>
      <w:r w:rsidRPr="00AC2878">
        <w:rPr>
          <w:rFonts w:ascii="Cambria Math" w:hAnsi="Cambria Math" w:cs="Cambria Math"/>
          <w:sz w:val="22"/>
          <w:szCs w:val="40"/>
          <w:lang w:val="cs-CZ"/>
        </w:rPr>
        <w:t>⎼</w:t>
      </w:r>
      <w:r w:rsidRPr="00AC2878">
        <w:rPr>
          <w:sz w:val="22"/>
          <w:szCs w:val="40"/>
          <w:lang w:val="cs-CZ"/>
        </w:rPr>
        <w:t xml:space="preserve"> největším světovém veletrhu pro plastikářský a gumárenský průmysl </w:t>
      </w:r>
      <w:r w:rsidRPr="00AC2878">
        <w:rPr>
          <w:rFonts w:ascii="Cambria Math" w:hAnsi="Cambria Math" w:cs="Cambria Math"/>
          <w:sz w:val="22"/>
          <w:szCs w:val="40"/>
          <w:lang w:val="cs-CZ"/>
        </w:rPr>
        <w:t>⎼</w:t>
      </w:r>
      <w:r w:rsidRPr="00AC2878">
        <w:rPr>
          <w:sz w:val="22"/>
          <w:szCs w:val="40"/>
          <w:lang w:val="cs-CZ"/>
        </w:rPr>
        <w:t xml:space="preserve"> představuje Koenig &amp; Bauer pro své zákazníky řešení šitá na míru a orientovaná na budoucnost. Výrobce tiskových strojů tak podtrhuje svou roli technologic</w:t>
      </w:r>
      <w:bookmarkStart w:id="2" w:name="_GoBack"/>
      <w:bookmarkEnd w:id="2"/>
      <w:r w:rsidRPr="00AC2878">
        <w:rPr>
          <w:sz w:val="22"/>
          <w:szCs w:val="40"/>
          <w:lang w:val="cs-CZ"/>
        </w:rPr>
        <w:t xml:space="preserve">kého lídra ve velmi odlišných oblastech tiskového trhu. Na stánku o rozloze 130 m² v hale 4 (B07) budou dceřiné společnosti Koenig &amp; Bauer </w:t>
      </w:r>
      <w:proofErr w:type="spellStart"/>
      <w:r w:rsidRPr="00AC2878">
        <w:rPr>
          <w:sz w:val="22"/>
          <w:szCs w:val="40"/>
          <w:lang w:val="cs-CZ"/>
        </w:rPr>
        <w:t>Kammann</w:t>
      </w:r>
      <w:proofErr w:type="spellEnd"/>
      <w:r w:rsidRPr="00AC2878">
        <w:rPr>
          <w:sz w:val="22"/>
          <w:szCs w:val="40"/>
          <w:lang w:val="cs-CZ"/>
        </w:rPr>
        <w:t xml:space="preserve"> a Koenig &amp; Bauer </w:t>
      </w:r>
      <w:proofErr w:type="spellStart"/>
      <w:r w:rsidRPr="00AC2878">
        <w:rPr>
          <w:sz w:val="22"/>
          <w:szCs w:val="40"/>
          <w:lang w:val="cs-CZ"/>
        </w:rPr>
        <w:t>Flexotecnica</w:t>
      </w:r>
      <w:proofErr w:type="spellEnd"/>
      <w:r w:rsidRPr="00AC2878">
        <w:rPr>
          <w:sz w:val="22"/>
          <w:szCs w:val="40"/>
          <w:lang w:val="cs-CZ"/>
        </w:rPr>
        <w:t xml:space="preserve"> společně prezentovat svůj široký sortiment produktů pro tisk na flexibilní obaly a také na duté předměty ze skla, kovu a plastu. Denně budou k vidění živé prezentace stroje KAMMANN K15 Q-SE s novou vysokorychlostní inkjetovou tiskovou jednotkou.</w:t>
      </w:r>
    </w:p>
    <w:p w:rsidR="0001057E" w:rsidRPr="00AC2878" w:rsidRDefault="0001057E" w:rsidP="0001057E">
      <w:pPr>
        <w:rPr>
          <w:b/>
          <w:color w:val="002060"/>
          <w:sz w:val="22"/>
          <w:szCs w:val="40"/>
          <w:lang w:val="cs-CZ"/>
        </w:rPr>
      </w:pPr>
      <w:r w:rsidRPr="00AC2878">
        <w:rPr>
          <w:b/>
          <w:color w:val="002060"/>
          <w:sz w:val="22"/>
          <w:szCs w:val="40"/>
          <w:lang w:val="cs-CZ"/>
        </w:rPr>
        <w:t>Udržitelná a inteligentní řešení ve flexotisku</w:t>
      </w:r>
    </w:p>
    <w:p w:rsidR="0001057E" w:rsidRPr="00AC2878" w:rsidRDefault="0001057E" w:rsidP="0001057E">
      <w:pPr>
        <w:rPr>
          <w:sz w:val="22"/>
          <w:szCs w:val="40"/>
          <w:lang w:val="cs-CZ"/>
        </w:rPr>
      </w:pPr>
      <w:r w:rsidRPr="00AC2878">
        <w:rPr>
          <w:sz w:val="22"/>
          <w:szCs w:val="40"/>
          <w:lang w:val="cs-CZ"/>
        </w:rPr>
        <w:t xml:space="preserve">Prodejní a servisní tým představí na stánku flexotiskové stroje s centrálním cylindrem Evo XC, XD a XG a vysvětlí inteligentní řešení pro snížení odpadu, spotřeby energie a přípravných časů. Stroje řady Evo jsou vhodné pro všechny typy flexibilních obalových substrátů, také na recyklované nebo kompostovatelné materiály. Návštěvníci veletrhu se na místě také dozvědí, jak mohou optimálně využívat všechny digitální nástroje a softwarové moduly ke zvýšení produktivity a efektivity své flexotiskové produkce. S ohledem na udržitelnost budou na stánku prezentována řešení, která byla vyvinuta pro udržitelné obaly </w:t>
      </w:r>
      <w:r w:rsidRPr="00AC2878">
        <w:rPr>
          <w:rFonts w:ascii="Cambria Math" w:hAnsi="Cambria Math" w:cs="Cambria Math"/>
          <w:sz w:val="22"/>
          <w:szCs w:val="40"/>
          <w:lang w:val="cs-CZ"/>
        </w:rPr>
        <w:t>⎼</w:t>
      </w:r>
      <w:r w:rsidRPr="00AC2878">
        <w:rPr>
          <w:sz w:val="22"/>
          <w:szCs w:val="40"/>
          <w:lang w:val="cs-CZ"/>
        </w:rPr>
        <w:t>, jako jsou inkousty na vodní bázi nebo LED UV a také hybridní řešení kombinovaných řad CI (centrální cylindr) s navazující flexotiskovou nebo hlubotiskovou jednotkou pro laky a nátěry.</w:t>
      </w:r>
    </w:p>
    <w:p w:rsidR="0001057E" w:rsidRPr="00AC2878" w:rsidRDefault="0001057E" w:rsidP="0001057E">
      <w:pPr>
        <w:rPr>
          <w:b/>
          <w:color w:val="002060"/>
          <w:sz w:val="22"/>
          <w:szCs w:val="40"/>
          <w:lang w:val="cs-CZ"/>
        </w:rPr>
      </w:pPr>
      <w:r w:rsidRPr="00AC2878">
        <w:rPr>
          <w:b/>
          <w:color w:val="002060"/>
          <w:sz w:val="22"/>
          <w:szCs w:val="40"/>
          <w:lang w:val="cs-CZ"/>
        </w:rPr>
        <w:t>Nová technologie potisku skla, plastu a kovu</w:t>
      </w:r>
    </w:p>
    <w:p w:rsidR="0001057E" w:rsidRPr="00AC2878" w:rsidRDefault="0001057E" w:rsidP="0001057E">
      <w:pPr>
        <w:rPr>
          <w:sz w:val="22"/>
          <w:szCs w:val="40"/>
          <w:lang w:val="cs-CZ"/>
        </w:rPr>
      </w:pPr>
      <w:r w:rsidRPr="00AC2878">
        <w:rPr>
          <w:sz w:val="22"/>
          <w:szCs w:val="40"/>
          <w:lang w:val="cs-CZ"/>
        </w:rPr>
        <w:t xml:space="preserve">Kromě toho Koenig &amp; Bauer a její dceřiná společnost </w:t>
      </w:r>
      <w:proofErr w:type="spellStart"/>
      <w:r w:rsidRPr="00AC2878">
        <w:rPr>
          <w:sz w:val="22"/>
          <w:szCs w:val="40"/>
          <w:lang w:val="cs-CZ"/>
        </w:rPr>
        <w:t>Kammann</w:t>
      </w:r>
      <w:proofErr w:type="spellEnd"/>
      <w:r w:rsidRPr="00AC2878">
        <w:rPr>
          <w:sz w:val="22"/>
          <w:szCs w:val="40"/>
          <w:lang w:val="cs-CZ"/>
        </w:rPr>
        <w:t xml:space="preserve"> na veletrhu představí své široké spektrum aplikací v oblasti sítotisku, digitálního tisku, horké ražby a hybridních aplikací na plastové předměty. Ve vystaveném stroji KAMMANN K15 Q-SE si návštěvníci poprvé mohou vyzkoušet novou vysokorychlostní inkjetovou tiskovou jednotku pro tisk válcových a kuželových předmětů ze skla, plastu a kovu v nejvyšších výstupních objemech. Svými výkonovými daty tato světová novinka završuje současné portfolio inkoustových tiskových jednotek. Skládají se ze standardní tiskové jednotky, paralelní tiskové jednotky pro realizaci barevných tisků a aplikací s "Digital </w:t>
      </w:r>
      <w:proofErr w:type="spellStart"/>
      <w:r w:rsidRPr="00AC2878">
        <w:rPr>
          <w:sz w:val="22"/>
          <w:szCs w:val="40"/>
          <w:lang w:val="cs-CZ"/>
        </w:rPr>
        <w:t>Printed</w:t>
      </w:r>
      <w:proofErr w:type="spellEnd"/>
      <w:r w:rsidRPr="00AC2878">
        <w:rPr>
          <w:sz w:val="22"/>
          <w:szCs w:val="40"/>
          <w:lang w:val="cs-CZ"/>
        </w:rPr>
        <w:t xml:space="preserve"> </w:t>
      </w:r>
      <w:proofErr w:type="spellStart"/>
      <w:r w:rsidRPr="00AC2878">
        <w:rPr>
          <w:sz w:val="22"/>
          <w:szCs w:val="40"/>
          <w:lang w:val="cs-CZ"/>
        </w:rPr>
        <w:t>Relief</w:t>
      </w:r>
      <w:proofErr w:type="spellEnd"/>
      <w:r w:rsidRPr="00AC2878">
        <w:rPr>
          <w:sz w:val="22"/>
          <w:szCs w:val="40"/>
          <w:lang w:val="cs-CZ"/>
        </w:rPr>
        <w:t>" v jedné tiskové stanici a tandemové inkoustové tiskové jednotky pro vysoký výkon při dekorování válcových předm</w:t>
      </w:r>
      <w:r w:rsidRPr="00AC2878">
        <w:rPr>
          <w:sz w:val="22"/>
          <w:szCs w:val="40"/>
          <w:lang w:val="cs-CZ"/>
        </w:rPr>
        <w:t>ětů.</w:t>
      </w:r>
    </w:p>
    <w:p w:rsidR="0001057E" w:rsidRPr="00AC2878" w:rsidRDefault="0001057E" w:rsidP="0001057E">
      <w:pPr>
        <w:rPr>
          <w:b/>
          <w:color w:val="002355"/>
          <w:lang w:val="cs-CZ"/>
        </w:rPr>
      </w:pPr>
      <w:r w:rsidRPr="00AC2878">
        <w:rPr>
          <w:sz w:val="22"/>
          <w:szCs w:val="40"/>
          <w:lang w:val="cs-CZ"/>
        </w:rPr>
        <w:t xml:space="preserve">S různými designy mobilní stanice pro horkou ražbu K29 S poprvé veřejně prezentuje Koenig &amp; Bauer </w:t>
      </w:r>
      <w:proofErr w:type="spellStart"/>
      <w:r w:rsidRPr="00AC2878">
        <w:rPr>
          <w:sz w:val="22"/>
          <w:szCs w:val="40"/>
          <w:lang w:val="cs-CZ"/>
        </w:rPr>
        <w:t>Kammann</w:t>
      </w:r>
      <w:proofErr w:type="spellEnd"/>
      <w:r w:rsidRPr="00AC2878">
        <w:rPr>
          <w:sz w:val="22"/>
          <w:szCs w:val="40"/>
          <w:lang w:val="cs-CZ"/>
        </w:rPr>
        <w:t xml:space="preserve"> své aplikační rozšíření v oblasti horké ražby. Novinkou v expozici je mobilní horká ražba pro realizaci ražby na válcové a kuželové předměty. Četné videosekvence poskytují návštěvníkům komplexní přehled o různých detailech vybavení a funkčních vlastnostech různých produktových řad </w:t>
      </w:r>
      <w:proofErr w:type="spellStart"/>
      <w:r w:rsidRPr="00AC2878">
        <w:rPr>
          <w:sz w:val="22"/>
          <w:szCs w:val="40"/>
          <w:lang w:val="cs-CZ"/>
        </w:rPr>
        <w:t>Kammann</w:t>
      </w:r>
      <w:proofErr w:type="spellEnd"/>
      <w:r w:rsidRPr="00AC2878">
        <w:rPr>
          <w:sz w:val="22"/>
          <w:szCs w:val="40"/>
          <w:lang w:val="cs-CZ"/>
        </w:rPr>
        <w:t>. Vzorky tisku s neobvyklým designem dávají představu o možnostech, které stroje nabízejí.</w:t>
      </w:r>
    </w:p>
    <w:p w:rsidR="00526875" w:rsidRPr="00AC2878" w:rsidRDefault="0070401D" w:rsidP="0001057E">
      <w:pPr>
        <w:rPr>
          <w:lang w:val="cs-CZ"/>
        </w:rPr>
      </w:pPr>
      <w:r w:rsidRPr="00AC2878">
        <w:rPr>
          <w:lang w:val="cs-CZ"/>
        </w:rPr>
        <w:t xml:space="preserve"> </w:t>
      </w:r>
    </w:p>
    <w:p w:rsidR="00526875" w:rsidRPr="00AC2878" w:rsidRDefault="0070401D">
      <w:pPr>
        <w:pStyle w:val="Nadpis4"/>
        <w:rPr>
          <w:lang w:val="cs-CZ"/>
        </w:rPr>
      </w:pPr>
      <w:r w:rsidRPr="00AC2878">
        <w:rPr>
          <w:lang w:val="cs-CZ"/>
        </w:rPr>
        <w:t>F</w:t>
      </w:r>
      <w:r w:rsidRPr="00AC2878">
        <w:rPr>
          <w:lang w:val="cs-CZ"/>
        </w:rPr>
        <w:t>oto:</w:t>
      </w:r>
    </w:p>
    <w:p w:rsidR="00526875" w:rsidRPr="00AC2878" w:rsidRDefault="0001057E">
      <w:pPr>
        <w:rPr>
          <w:lang w:val="cs-CZ"/>
        </w:rPr>
      </w:pPr>
      <w:r w:rsidRPr="00AC2878">
        <w:rPr>
          <w:lang w:val="cs-CZ"/>
        </w:rPr>
        <w:t>Stroj KAMMANN K15 Q-SE vystavený na stánku je vybaven novou vysokorychlostní inkjetovou tiskovou jednotkou.</w:t>
      </w:r>
    </w:p>
    <w:p w:rsidR="00526875" w:rsidRPr="00AC2878" w:rsidRDefault="0001057E">
      <w:pPr>
        <w:rPr>
          <w:lang w:val="cs-CZ"/>
        </w:rPr>
      </w:pPr>
      <w:bookmarkStart w:id="3" w:name="_heading=h.3dy6vkm" w:colFirst="0" w:colLast="0"/>
      <w:bookmarkEnd w:id="3"/>
      <w:r w:rsidRPr="00AC2878">
        <w:rPr>
          <w:b/>
          <w:sz w:val="22"/>
          <w:lang w:val="cs-CZ"/>
        </w:rPr>
        <w:t>Kontaktní osoba pro tisk</w:t>
      </w:r>
      <w:r w:rsidRPr="00AC2878">
        <w:rPr>
          <w:sz w:val="22"/>
          <w:lang w:val="cs-CZ"/>
        </w:rPr>
        <w:br/>
      </w:r>
      <w:r w:rsidR="0070401D" w:rsidRPr="00AC2878">
        <w:rPr>
          <w:lang w:val="cs-CZ"/>
        </w:rPr>
        <w:t>Koenig &amp; Bauer AG</w:t>
      </w:r>
      <w:r w:rsidR="0070401D" w:rsidRPr="00AC2878">
        <w:rPr>
          <w:lang w:val="cs-CZ"/>
        </w:rPr>
        <w:br/>
        <w:t xml:space="preserve">Dagmar </w:t>
      </w:r>
      <w:proofErr w:type="spellStart"/>
      <w:r w:rsidR="0070401D" w:rsidRPr="00AC2878">
        <w:rPr>
          <w:lang w:val="cs-CZ"/>
        </w:rPr>
        <w:t>Ringel</w:t>
      </w:r>
      <w:proofErr w:type="spellEnd"/>
      <w:r w:rsidR="0070401D" w:rsidRPr="00AC2878">
        <w:rPr>
          <w:lang w:val="cs-CZ"/>
        </w:rPr>
        <w:br/>
        <w:t>+49</w:t>
      </w:r>
      <w:r w:rsidR="0070401D" w:rsidRPr="00AC2878">
        <w:rPr>
          <w:lang w:val="cs-CZ"/>
        </w:rPr>
        <w:t xml:space="preserve"> 931 909-6756</w:t>
      </w:r>
      <w:r w:rsidR="0070401D" w:rsidRPr="00AC2878">
        <w:rPr>
          <w:lang w:val="cs-CZ"/>
        </w:rPr>
        <w:br/>
      </w:r>
      <w:hyperlink r:id="rId8">
        <w:r w:rsidR="0070401D" w:rsidRPr="00AC2878">
          <w:rPr>
            <w:color w:val="1155CC"/>
            <w:u w:val="single"/>
            <w:lang w:val="cs-CZ"/>
          </w:rPr>
          <w:t>dagmar.ringel@koenig-bauer.com</w:t>
        </w:r>
      </w:hyperlink>
    </w:p>
    <w:p w:rsidR="00526875" w:rsidRPr="00AC2878" w:rsidRDefault="00526875" w:rsidP="0001057E">
      <w:pPr>
        <w:rPr>
          <w:sz w:val="22"/>
          <w:lang w:val="cs-CZ"/>
        </w:rPr>
      </w:pPr>
    </w:p>
    <w:p w:rsidR="0001057E" w:rsidRPr="00AC2878" w:rsidRDefault="0001057E" w:rsidP="0001057E">
      <w:pPr>
        <w:spacing w:after="0"/>
        <w:rPr>
          <w:b/>
          <w:color w:val="000000"/>
          <w:sz w:val="22"/>
          <w:lang w:val="cs-CZ"/>
        </w:rPr>
      </w:pPr>
      <w:bookmarkStart w:id="4" w:name="_heading=h.1t3h5sf" w:colFirst="0" w:colLast="0"/>
      <w:bookmarkEnd w:id="4"/>
      <w:r w:rsidRPr="00AC2878">
        <w:rPr>
          <w:b/>
          <w:color w:val="000000"/>
          <w:sz w:val="22"/>
          <w:lang w:val="cs-CZ"/>
        </w:rPr>
        <w:t>O společnosti Koenig &amp; Bauer</w:t>
      </w:r>
    </w:p>
    <w:p w:rsidR="0001057E" w:rsidRPr="00AC2878" w:rsidRDefault="0001057E" w:rsidP="0001057E">
      <w:pPr>
        <w:rPr>
          <w:color w:val="000000"/>
          <w:sz w:val="22"/>
          <w:lang w:val="cs-CZ"/>
        </w:rPr>
      </w:pPr>
      <w:r w:rsidRPr="00AC2878">
        <w:rPr>
          <w:color w:val="000000"/>
          <w:sz w:val="22"/>
          <w:lang w:val="cs-CZ"/>
        </w:rPr>
        <w:t xml:space="preserve">Společnost Koenig &amp; Bauer se sídlem ve </w:t>
      </w:r>
      <w:proofErr w:type="spellStart"/>
      <w:r w:rsidRPr="00AC2878">
        <w:rPr>
          <w:color w:val="000000"/>
          <w:sz w:val="22"/>
          <w:lang w:val="cs-CZ"/>
        </w:rPr>
        <w:t>Würzburgu</w:t>
      </w:r>
      <w:proofErr w:type="spellEnd"/>
      <w:r w:rsidRPr="00AC2878">
        <w:rPr>
          <w:color w:val="000000"/>
          <w:sz w:val="22"/>
          <w:lang w:val="cs-CZ"/>
        </w:rPr>
        <w:t xml:space="preserve"> (Německo) je výrobcem tiskových strojů s celosvětovou působností. Podnik vyrábí stroje a nabízí software řešení pro celý proces tisku a další zpracování se zaměřením na technologii obalů. Stroje Koenig &amp; Bauer potisknou téměř všechny substráty -   portfolio sahá od bankovek, přes obaly z kartonu, vlnité lepenky, fólie, plechu a skla až po tisk knih, displejů, značení, dekorů, časopisů, reklamních tiskovin a novin. S více než 200letou historií je Koenig &amp; Bauer nejstarším výrobcem tiskových strojů na světě a ovládá dnes téměř všechny tiskové postupy. V celém koncernu pracuje okolo 5.400 zaměstnanců, přičemž společnost vyrábí v deseti závodech v Evropě a spravuje světovou prodejní a servisní síť. Roční obrat v hospodářském roce 2021 dosáhl 1,116 miliardy euro.</w:t>
      </w:r>
    </w:p>
    <w:p w:rsidR="00526875" w:rsidRPr="00AC2878" w:rsidRDefault="0001057E" w:rsidP="0001057E">
      <w:pPr>
        <w:rPr>
          <w:sz w:val="22"/>
          <w:lang w:val="cs-CZ"/>
        </w:rPr>
      </w:pPr>
      <w:r w:rsidRPr="00AC2878">
        <w:rPr>
          <w:color w:val="000000"/>
          <w:sz w:val="22"/>
          <w:lang w:val="cs-CZ"/>
        </w:rPr>
        <w:t xml:space="preserve">Další informace na </w:t>
      </w:r>
      <w:hyperlink r:id="rId9" w:history="1">
        <w:r w:rsidRPr="00AC2878">
          <w:rPr>
            <w:rStyle w:val="Hypertextovodkaz"/>
            <w:color w:val="C00000"/>
            <w:sz w:val="22"/>
            <w:lang w:val="cs-CZ"/>
          </w:rPr>
          <w:t>www.koenig-bauer.com</w:t>
        </w:r>
      </w:hyperlink>
    </w:p>
    <w:sectPr w:rsidR="00526875" w:rsidRPr="00AC2878">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401D">
      <w:pPr>
        <w:spacing w:after="0" w:line="240" w:lineRule="auto"/>
      </w:pPr>
      <w:r>
        <w:separator/>
      </w:r>
    </w:p>
  </w:endnote>
  <w:endnote w:type="continuationSeparator" w:id="0">
    <w:p w:rsidR="00000000" w:rsidRDefault="0070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75" w:rsidRDefault="00526875">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75" w:rsidRPr="00AC2878" w:rsidRDefault="00526875">
    <w:pPr>
      <w:widowControl w:val="0"/>
      <w:pBdr>
        <w:top w:val="nil"/>
        <w:left w:val="nil"/>
        <w:bottom w:val="nil"/>
        <w:right w:val="nil"/>
        <w:between w:val="nil"/>
      </w:pBdr>
      <w:spacing w:after="0"/>
      <w:rPr>
        <w:color w:val="000000"/>
        <w:sz w:val="14"/>
        <w:szCs w:val="14"/>
        <w:lang w:val="cs-CZ"/>
      </w:rPr>
    </w:pPr>
  </w:p>
  <w:tbl>
    <w:tblPr>
      <w:tblStyle w:val="a4"/>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526875" w:rsidRPr="00AC2878">
      <w:tc>
        <w:tcPr>
          <w:tcW w:w="4530" w:type="dxa"/>
        </w:tcPr>
        <w:p w:rsidR="00526875" w:rsidRPr="00AC2878" w:rsidRDefault="00526875">
          <w:pPr>
            <w:pBdr>
              <w:top w:val="nil"/>
              <w:left w:val="nil"/>
              <w:bottom w:val="nil"/>
              <w:right w:val="nil"/>
              <w:between w:val="nil"/>
            </w:pBdr>
            <w:tabs>
              <w:tab w:val="center" w:pos="4536"/>
              <w:tab w:val="right" w:pos="9072"/>
            </w:tabs>
            <w:spacing w:line="276" w:lineRule="auto"/>
            <w:rPr>
              <w:color w:val="000000"/>
              <w:sz w:val="14"/>
              <w:szCs w:val="14"/>
              <w:lang w:val="cs-CZ"/>
            </w:rPr>
          </w:pPr>
        </w:p>
      </w:tc>
      <w:tc>
        <w:tcPr>
          <w:tcW w:w="4530" w:type="dxa"/>
        </w:tcPr>
        <w:p w:rsidR="00526875" w:rsidRPr="00AC2878" w:rsidRDefault="00AC2878">
          <w:pPr>
            <w:pBdr>
              <w:top w:val="nil"/>
              <w:left w:val="nil"/>
              <w:bottom w:val="nil"/>
              <w:right w:val="nil"/>
              <w:between w:val="nil"/>
            </w:pBdr>
            <w:tabs>
              <w:tab w:val="center" w:pos="4536"/>
              <w:tab w:val="right" w:pos="9072"/>
            </w:tabs>
            <w:spacing w:line="276" w:lineRule="auto"/>
            <w:jc w:val="right"/>
            <w:rPr>
              <w:color w:val="000000"/>
              <w:sz w:val="14"/>
              <w:szCs w:val="14"/>
              <w:lang w:val="cs-CZ"/>
            </w:rPr>
          </w:pPr>
          <w:r w:rsidRPr="00AC2878">
            <w:rPr>
              <w:sz w:val="14"/>
              <w:szCs w:val="14"/>
              <w:lang w:val="cs-CZ"/>
            </w:rPr>
            <w:t xml:space="preserve">Koenig &amp; Bauer na veletrhu K2022 </w:t>
          </w:r>
          <w:r w:rsidR="0070401D" w:rsidRPr="00AC2878">
            <w:rPr>
              <w:color w:val="000000"/>
              <w:sz w:val="14"/>
              <w:szCs w:val="14"/>
              <w:lang w:val="cs-CZ"/>
            </w:rPr>
            <w:t xml:space="preserve">| </w:t>
          </w:r>
          <w:r w:rsidR="0070401D" w:rsidRPr="00AC2878">
            <w:rPr>
              <w:color w:val="000000"/>
              <w:sz w:val="14"/>
              <w:szCs w:val="14"/>
              <w:lang w:val="cs-CZ"/>
            </w:rPr>
            <w:fldChar w:fldCharType="begin"/>
          </w:r>
          <w:r w:rsidR="0070401D" w:rsidRPr="00AC2878">
            <w:rPr>
              <w:color w:val="000000"/>
              <w:sz w:val="14"/>
              <w:szCs w:val="14"/>
              <w:lang w:val="cs-CZ"/>
            </w:rPr>
            <w:instrText>PAGE</w:instrText>
          </w:r>
          <w:r w:rsidR="0001057E" w:rsidRPr="00AC2878">
            <w:rPr>
              <w:color w:val="000000"/>
              <w:sz w:val="14"/>
              <w:szCs w:val="14"/>
              <w:lang w:val="cs-CZ"/>
            </w:rPr>
            <w:fldChar w:fldCharType="separate"/>
          </w:r>
          <w:r w:rsidR="0070401D">
            <w:rPr>
              <w:noProof/>
              <w:color w:val="000000"/>
              <w:sz w:val="14"/>
              <w:szCs w:val="14"/>
              <w:lang w:val="cs-CZ"/>
            </w:rPr>
            <w:t>1</w:t>
          </w:r>
          <w:r w:rsidR="0070401D" w:rsidRPr="00AC2878">
            <w:rPr>
              <w:color w:val="000000"/>
              <w:sz w:val="14"/>
              <w:szCs w:val="14"/>
              <w:lang w:val="cs-CZ"/>
            </w:rPr>
            <w:fldChar w:fldCharType="end"/>
          </w:r>
        </w:p>
      </w:tc>
    </w:tr>
  </w:tbl>
  <w:p w:rsidR="00526875" w:rsidRPr="00AC2878" w:rsidRDefault="00526875">
    <w:pPr>
      <w:pBdr>
        <w:top w:val="nil"/>
        <w:left w:val="nil"/>
        <w:bottom w:val="nil"/>
        <w:right w:val="nil"/>
        <w:between w:val="nil"/>
      </w:pBdr>
      <w:tabs>
        <w:tab w:val="center" w:pos="4536"/>
        <w:tab w:val="right" w:pos="9072"/>
      </w:tabs>
      <w:spacing w:after="0"/>
      <w:jc w:val="right"/>
      <w:rPr>
        <w:color w:val="000000"/>
        <w:sz w:val="14"/>
        <w:szCs w:val="14"/>
        <w:lang w:val="cs-C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75" w:rsidRDefault="00526875">
    <w:pPr>
      <w:widowControl w:val="0"/>
      <w:pBdr>
        <w:top w:val="nil"/>
        <w:left w:val="nil"/>
        <w:bottom w:val="nil"/>
        <w:right w:val="nil"/>
        <w:between w:val="nil"/>
      </w:pBdr>
      <w:spacing w:after="0"/>
      <w:rPr>
        <w:color w:val="000000"/>
        <w:sz w:val="14"/>
        <w:szCs w:val="14"/>
      </w:rPr>
    </w:pPr>
  </w:p>
  <w:tbl>
    <w:tblPr>
      <w:tblStyle w:val="a3"/>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526875">
      <w:trPr>
        <w:trHeight w:val="620"/>
      </w:trPr>
      <w:tc>
        <w:tcPr>
          <w:tcW w:w="0" w:type="auto"/>
        </w:tcPr>
        <w:p w:rsidR="00526875" w:rsidRDefault="00526875">
          <w:pPr>
            <w:pBdr>
              <w:top w:val="nil"/>
              <w:left w:val="nil"/>
              <w:bottom w:val="nil"/>
              <w:right w:val="nil"/>
              <w:between w:val="nil"/>
            </w:pBdr>
            <w:spacing w:after="240" w:line="288" w:lineRule="auto"/>
            <w:rPr>
              <w:color w:val="000000"/>
              <w:sz w:val="20"/>
              <w:szCs w:val="20"/>
            </w:rPr>
          </w:pPr>
        </w:p>
      </w:tc>
      <w:tc>
        <w:tcPr>
          <w:tcW w:w="0" w:type="auto"/>
        </w:tcPr>
        <w:p w:rsidR="00526875" w:rsidRDefault="00526875">
          <w:pPr>
            <w:pBdr>
              <w:top w:val="nil"/>
              <w:left w:val="nil"/>
              <w:bottom w:val="nil"/>
              <w:right w:val="nil"/>
              <w:between w:val="nil"/>
            </w:pBdr>
            <w:spacing w:after="240" w:line="288" w:lineRule="auto"/>
            <w:rPr>
              <w:color w:val="000000"/>
              <w:sz w:val="20"/>
              <w:szCs w:val="20"/>
            </w:rPr>
          </w:pPr>
        </w:p>
      </w:tc>
      <w:tc>
        <w:tcPr>
          <w:tcW w:w="0" w:type="auto"/>
        </w:tcPr>
        <w:p w:rsidR="00526875" w:rsidRDefault="00526875">
          <w:pPr>
            <w:pBdr>
              <w:top w:val="nil"/>
              <w:left w:val="nil"/>
              <w:bottom w:val="nil"/>
              <w:right w:val="nil"/>
              <w:between w:val="nil"/>
            </w:pBdr>
            <w:spacing w:after="240" w:line="288" w:lineRule="auto"/>
            <w:rPr>
              <w:color w:val="000000"/>
              <w:sz w:val="20"/>
              <w:szCs w:val="20"/>
            </w:rPr>
          </w:pPr>
        </w:p>
      </w:tc>
    </w:tr>
  </w:tbl>
  <w:p w:rsidR="00526875" w:rsidRDefault="00526875">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401D">
      <w:pPr>
        <w:spacing w:after="0" w:line="240" w:lineRule="auto"/>
      </w:pPr>
      <w:r>
        <w:separator/>
      </w:r>
    </w:p>
  </w:footnote>
  <w:footnote w:type="continuationSeparator" w:id="0">
    <w:p w:rsidR="00000000" w:rsidRDefault="00704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75" w:rsidRDefault="00526875">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75" w:rsidRDefault="0070401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cs-CZ"/>
      </w:rPr>
      <w:drawing>
        <wp:inline distT="0" distB="0" distL="0" distR="0">
          <wp:extent cx="2524125" cy="2238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125" cy="223838"/>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75" w:rsidRDefault="0070401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cs-CZ"/>
      </w:rPr>
      <w:drawing>
        <wp:inline distT="0" distB="0" distL="0" distR="0">
          <wp:extent cx="2524721" cy="216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D4FD5"/>
    <w:multiLevelType w:val="multilevel"/>
    <w:tmpl w:val="DB0260B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68FC5A75"/>
    <w:multiLevelType w:val="hybridMultilevel"/>
    <w:tmpl w:val="7CC294D4"/>
    <w:lvl w:ilvl="0" w:tplc="24620CD4">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75"/>
    <w:rsid w:val="0001057E"/>
    <w:rsid w:val="00526875"/>
    <w:rsid w:val="0070401D"/>
    <w:rsid w:val="00AC2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801D-CA58-4830-A9E6-905CA0E6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cs-CZ"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line="240" w:lineRule="auto"/>
      <w:outlineLvl w:val="0"/>
    </w:pPr>
    <w:rPr>
      <w:b/>
      <w:color w:val="002355"/>
      <w:sz w:val="40"/>
      <w:szCs w:val="40"/>
    </w:rPr>
  </w:style>
  <w:style w:type="paragraph" w:styleId="Nadpis2">
    <w:name w:val="heading 2"/>
    <w:basedOn w:val="Normln"/>
    <w:next w:val="Normln"/>
    <w:pPr>
      <w:keepNext/>
      <w:keepLines/>
      <w:spacing w:after="0"/>
      <w:outlineLvl w:val="1"/>
    </w:pPr>
    <w:rPr>
      <w:b/>
      <w:color w:val="002355"/>
      <w:sz w:val="28"/>
      <w:szCs w:val="28"/>
    </w:rPr>
  </w:style>
  <w:style w:type="paragraph" w:styleId="Nadpis3">
    <w:name w:val="heading 3"/>
    <w:basedOn w:val="Normln"/>
    <w:next w:val="Normln"/>
    <w:pPr>
      <w:keepNext/>
      <w:keepLines/>
      <w:spacing w:after="0"/>
      <w:outlineLvl w:val="2"/>
    </w:pPr>
    <w:rPr>
      <w:b/>
      <w:color w:val="002355"/>
    </w:rPr>
  </w:style>
  <w:style w:type="paragraph" w:styleId="Nadpis4">
    <w:name w:val="heading 4"/>
    <w:basedOn w:val="Normln"/>
    <w:next w:val="Normln"/>
    <w:pPr>
      <w:keepNext/>
      <w:keepLines/>
      <w:spacing w:after="0"/>
      <w:outlineLvl w:val="3"/>
    </w:pPr>
    <w:rPr>
      <w:b/>
      <w:color w:val="000000"/>
    </w:rPr>
  </w:style>
  <w:style w:type="paragraph" w:styleId="Nadpis5">
    <w:name w:val="heading 5"/>
    <w:basedOn w:val="Normln"/>
    <w:next w:val="Normln"/>
    <w:pPr>
      <w:keepNext/>
      <w:keepLines/>
      <w:spacing w:after="0"/>
      <w:outlineLvl w:val="4"/>
    </w:pPr>
    <w:rPr>
      <w:b/>
      <w:color w:val="000000"/>
    </w:rPr>
  </w:style>
  <w:style w:type="paragraph" w:styleId="Nadpis6">
    <w:name w:val="heading 6"/>
    <w:basedOn w:val="Normln"/>
    <w:next w:val="Normln"/>
    <w:pPr>
      <w:keepNext/>
      <w:keepLines/>
      <w:spacing w:after="0"/>
      <w:outlineLvl w:val="5"/>
    </w:pPr>
    <w:rPr>
      <w:b/>
      <w:color w:val="00112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spacing w:line="240" w:lineRule="auto"/>
    </w:pPr>
    <w:rPr>
      <w:color w:val="002355"/>
      <w:sz w:val="28"/>
      <w:szCs w:val="28"/>
    </w:rPr>
  </w:style>
  <w:style w:type="table" w:customStyle="1" w:styleId="a">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1"/>
    <w:pPr>
      <w:spacing w:after="0" w:line="240" w:lineRule="auto"/>
    </w:pPr>
    <w:rPr>
      <w:sz w:val="17"/>
      <w:szCs w:val="17"/>
    </w:rPr>
    <w:tblPr>
      <w:tblStyleRowBandSize w:val="1"/>
      <w:tblStyleColBandSize w:val="1"/>
      <w:tblCellMar>
        <w:top w:w="57" w:type="dxa"/>
        <w:bottom w:w="28" w:type="dxa"/>
      </w:tblCellMar>
    </w:tblPr>
  </w:style>
  <w:style w:type="character" w:styleId="Hypertextovodkaz">
    <w:name w:val="Hyperlink"/>
    <w:basedOn w:val="Standardnpsmoodstavce"/>
    <w:uiPriority w:val="99"/>
    <w:unhideWhenUsed/>
    <w:rsid w:val="004F7F57"/>
    <w:rPr>
      <w:color w:val="0000FF" w:themeColor="hyperlink"/>
      <w:u w:val="single"/>
    </w:rPr>
  </w:style>
  <w:style w:type="table" w:customStyle="1" w:styleId="a1">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3">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4">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Odstavecseseznamem">
    <w:name w:val="List Paragraph"/>
    <w:basedOn w:val="Normln"/>
    <w:uiPriority w:val="34"/>
    <w:qFormat/>
    <w:rsid w:val="0001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tanislav.vanicek\Download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oh/+FkJW/bbvZAJL7eh3MZmeQ==">AMUW2mXrn2I426M/SrAW/neat+yz7o+A6PvW6kx2RIMPlFD0Nc9NHiXura5x7tguj3tVxu7pSCA5N17X8j2H9yDjWwj5WypnwIha19p35+7qUgIcdJbM5BFVuns6FPVKRRus/zUOF+vC6dlFZoOdS5DIEB1U5b+AG3Kbm2uFL+bBwy4QOIaEAnrS+5y13w/+eeiL70aYmHJVOFwEY2LiNqRZO6gCcYKCTwfB/S8uQIJ+9ZVaOlitQFeXeOgMz8d+bUxS6T6Bf38O8Ly/w/8ow3L26utrUJ2qFLZgszJmTFonjjVPbODx3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3745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Dänhardt, Martin (BDP)</dc:creator>
  <cp:lastModifiedBy>Stanislav Vaníček</cp:lastModifiedBy>
  <cp:revision>2</cp:revision>
  <dcterms:created xsi:type="dcterms:W3CDTF">2022-10-14T09:57:00Z</dcterms:created>
  <dcterms:modified xsi:type="dcterms:W3CDTF">2022-10-14T09:57:00Z</dcterms:modified>
</cp:coreProperties>
</file>